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ZQ23.006014 vom 24. Januar 2024</w:t>
      </w:r>
    </w:p>
    <w:p>
      <w:r>
        <w:t>VD Tribunal cantonal, 2024-01-24, FR</w:t>
      </w:r>
    </w:p>
    <w:p>
      <w:r>
        <w:rPr>
          <w:b/>
        </w:rPr>
        <w:t xml:space="preserve">Quelle: </w:t>
      </w:r>
      <w:r>
        <w:t>https://mcp.opencaselaw.ch/entscheid/vd_gerichte_ZQ23.006014</w:t>
      </w:r>
    </w:p>
    <w:p>
      <w:r>
        <w:t>FR: VD_GERICHTE ZQ23.006014 du 24 janvier 2024</w:t>
      </w:r>
    </w:p>
    <w:p>
      <w:r>
        <w:t>IT: VD_GERICHTE ZQ23.006014 del 24 gennaio 2024</w:t>
      </w:r>
    </w:p>
    <w:p>
      <w:pPr>
        <w:pStyle w:val="Heading2"/>
      </w:pPr>
      <w:r>
        <w:t>Erwägungen</w:t>
      </w:r>
    </w:p>
    <w:p>
      <w:r>
        <w:rPr>
          <w:b/>
        </w:rPr>
        <w:t>E. 8</w:t>
      </w:r>
    </w:p>
    <w:p>
      <w:r>
        <w:t>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 content/uploads/2021/06/Rapport_annuel_2020_G.________ SA.pdf]), celle-ci a, dans le cadre des mesures d’endiguement du coronavirus, réduit son offre conformément aux recommandations des autorités fédérales et cantonales ainsi qu’aux directives prises par la branche, en adaptant l’ensemble de son offre de transports. Du 23 mars au</w:t>
      </w:r>
    </w:p>
    <w:p>
      <w:r>
        <w:rPr>
          <w:b/>
        </w:rPr>
        <w:t>E. 11</w:t>
      </w:r>
    </w:p>
    <w:p>
      <w:r>
        <w:t>mai 2020, les horaires du dimanche ont été appliqués à toutes les lignes, alors que les cadences du Métro K.________, transportant le personnel de l’Hôpital H.________, ont été adaptées au gré de l’évolution de la situation.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 même s’agissant du transport public régional de voyageurs, respectivement au canton et aux communes s’agissant du transport urbain, de couvrir le déficit provoqué par cette chute de recette. Dans la mesure où l’Etat et les communes subventionnent des entités privées devant effectuer une tâche publique, ils doivent</w:t>
      </w:r>
    </w:p>
    <w:p>
      <w:r>
        <w:t>- 7 - mettre à disposition les fonds nécessaires afin d’assurer leur équilibre financier. A l’instar de l’intimé, on peut également se demander si la recourante ne dispose pas d’une garantie de déficits plus étendue (cf. art. 16 Convention-TRV, 7 Convention trafic-local et</w:t>
      </w:r>
    </w:p>
    <w:p>
      <w:r>
        <w:rPr>
          <w:b/>
        </w:rPr>
        <w:t>E. 14</w:t>
      </w:r>
    </w:p>
    <w:p>
      <w:r>
        <w:t>Convention-métros).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des art. 11 de la Convention-TRV, 9 de la Convention- trafic local et 9 de la Convention-métros,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w:t>
      </w:r>
    </w:p>
    <w:p>
      <w:r>
        <w:t>- 8 -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8C_325/2022), la IVe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w:t>
      </w:r>
    </w:p>
    <w:p>
      <w:r>
        <w:t>- 9 -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d'œuvre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des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le transport urbain ou le trafic urbain en site propre, si bien que l’existence de l’entreprise n’était pas menacée par un risque de faillite ou un risque de fermeture d’exploitation. d) G.________ SA n’a pas déposé de déterminations complémentaires. E n d r o i t :</w:t>
      </w:r>
    </w:p>
    <w:p>
      <w:r>
        <w:t>- 10 - 1.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pour la période du 1er avril au 31 mai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w:t>
      </w:r>
    </w:p>
    <w:p>
      <w:r>
        <w:t>- 11 -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w:t>
      </w:r>
    </w:p>
    <w:p>
      <w:r>
        <w:t>- 12 -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w:t>
      </w:r>
    </w:p>
    <w:p>
      <w:r>
        <w:t>- 13 -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 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w:t>
      </w:r>
    </w:p>
    <w:p>
      <w:r>
        <w:t>- 14 -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w:t>
      </w:r>
    </w:p>
    <w:p>
      <w:r>
        <w:t>- 15 -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dans la ville de S.________ ainsi que dans l’agglomération [...], organisée sous la forme d’une société anonyme de droit privé, dont les actions sont détenues majoritairement par les communes et le Canton de Vaud. La recourante offre principalement des prestations dans les domaines du transport public régional de voyageurs et du transport urbain.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s’élevait à 5'987'836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G.________ SA relative à l’offre sur les prestations du secteur du</w:t>
      </w:r>
    </w:p>
    <w:p>
      <w:r>
        <w:t>- 16 - trafic régional des voyageurs (TRV) et son indemnisation, applicable à la période d’horaire 2020/2021 [ci-après : la Convention-TRV]). c) En matière de transport urbain, les prestations de transport ne sont pas indemnisées par la Confédération, mais par les cantons et les communes, en fonction de la législation spécifique à chaque canton (art. 28 al. 2 LTV). aa) Dans le canton de Vaud, la participation cantonale est, conformément à l’art. 18 LMTP (loi du 11 décembre 1990 sur la mobilité et les transports publics ; BLV 740.21), limitée à 50 % du déficit d’exploitation au plus, mais elle ne peut dépasser au maximum la somme des montants suivants : le 50 % des intérêts des emprunts, garantis par l’Etat et les communes ; le 50 % des amortissements comptables des installations et équipements ; et le 12,5 % des autres charges d’exploitation, y compris les intérêts sur les engagements courants. Le solde des coûts est à la charge des communes, après déduction de l’intégralité des recettes (cf. art. 17 al. 3 LMTP, par renvoi de l’art. 18 al. 3 LMTP, en corrélation avec l’art. 6 al. 2 ch. 2 LMTP). Pour l’année 2020, le déficit planifié s’élevait à 114'253'617 fr. et devait être pris en charge à hauteur de 29'094'951 fr. par le Canton de Vaud, le solde étant à la charge des communes (cf. art. 5 de la convention de subventionnement entre le Canton de Vaud et G.________ SA relative à l’offre sur les prestations du secteur du trafic local (urbain) des voyageurs et son indemnisation, applicable à l’année d’horaire 2020 [ci-après : la Convention-trafic local]). Les indemnités définitives à verser par le Canton de Vaud et par les communes sont soumises à une procédure de décompte final (cf. art. 5 al. 4 et art. 7 de la Convention-trafic local ; voir également l’art. 21 al. 1 LMTP). bb) Les lignes de trafic urbain en site propre, telles que les métros W.________ et K.________, sont assimilées, conformément à l’art. 7 al. 3 let. a LMTP, aux lignes de trafic régional. D’après l’art. 15 al. 1 LMTP, en corrélation avec l’art. 6 al. 2 ch. 2 LMTP, les communes participent à</w:t>
      </w:r>
    </w:p>
    <w:p>
      <w:r>
        <w:t>- 17 - raison de 30 % à la subvention d’exploitation des lignes de trafic régional, le solde étant à la charge du Canton de Vaud. Pour l’année 2020, le déficit planifié s’élevait à 32'107'624 fr. et devait être pris en charge à hauteur de 22'475'337 fr. par le Canton de Vaud et de 9’632'287 fr. par les communes (cf. art. 5 et 13 de la convention de subventionnement entre le Canton de Vaud et G.________ SA relative à l’offre sur les prestations du secteur urbain en site propre des voyageurs pour les métros et son indemnisation applicable à l’année d’horaire 2020 [ci-après : la Convention-métros]). Les indemnités définitives à verser par le Canton de Vaud et par les communes sont soumises à une procédure de décompte final (cf. art. 5 al. 4 et art. 7 de la Convention-métros ; voir également l’art. 16 al. 1 LMTP).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8 [qui peut être consulté à l’adresse Internet suivante : https://rapportannuel.G.________ SA.ch/wp- content/uploads/2021/05/Rapport_annuel_2020_G.________ SA.pdf]), celle- ci a, dans le cadre des mesures d’endiguement du coronavirus, réduit son offre conformément aux recommandations des autorités fédérales et cantonales ainsi qu’aux directives prises par la branche, en adaptant l’ensemble de son offre de transports. Du 23 mars au 11 mai 2020, les horaires du dimanche ont été appliqués à toutes les lignes, alors que les cadences du Métro K.________, transportant le personnel de l’Hôpital H.________, ont été adaptées au gré de l’évolution de la situation.</w:t>
      </w:r>
    </w:p>
    <w:p>
      <w:r>
        <w:t>- 18 -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le déficit d’exploitation engendré par la situation doit, compte tenu des mécanismes de financement mis en place, être assumé en définitive par les communes s’agissant des lignes de trafic urbain (art. 17 al. 3 LMTP, par renvoi de l’art. 18 al. 3 LMTP, en corrélation avec l’art. 6 al. 2 ch. 2 LMTP ; cf. supra consid. 8c/aa) et par le canton s’agissant des lignes de trafic urbain en site propre (art. 15 al. 1 LMTP, en corrélation avec l’art. 6 al. 2 ch. 2 LMTP ; cf. supra consid. 8c/bb). Dans la mesure où la recourante bénéficie, s’agissant des prestations précitées, d’une garantie de couverture des coûts d’exploitation, elle n’a pas droit à des indemnités en cas de réduction de l’horaire de travail dans le domaine du transport urbain (voir également, sur la question, l’exposé des motifs et projet de décret accordant un soutien extraordinaire aux transports publics régionaux et urbains pour atténuer les pertes provoquées par le coronavirus [COVID-19] durant l’année 2020 [20_LEG_95]). e) En revanche, la recourante ne dispose pas d’une telle garantie de couverture s’agissant du transport public régional de voyageurs (art. 36 al. 1 LTV ; cf. supra consid. 8b), dès lors qu’il lui appartient de répondre elle-même d’un éventuel déficit.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3). Dans la mesure toutefois où cette disposition ne fixe aucun mécanisme concret pour son</w:t>
      </w:r>
    </w:p>
    <w:p>
      <w:r>
        <w:t>- 19 - application et ne confère aucune garantie expresse ou implicite, il n’y a pas lieu d’en tenir compte dans le cadre du présent examen. 10. Aussi convient-il d’examiner si la recourante a la possibilité, pour le personnel employé dans le secteur du transport public régional de voyageurs,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d’entreprise n° 3 (complémentaire à la CCT- cadre n° 3).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w:t>
      </w:r>
    </w:p>
    <w:p>
      <w:r>
        <w:t>- 20 -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pour la période du 1er avril au 31 mai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à tout le moins dans le secteur du transport urbain,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w:t>
      </w:r>
    </w:p>
    <w:p>
      <w:r>
        <w:t>- 21 - préoccuper de l’impact que peut avoir un refus de prestations sur la situation économique du demandeur de prestations et de ses bailleurs de fonds. 12. a) En définitive, le recours doit être partiellement admis et la décision sur opposition litigieuse réformée, en ce sens que la recourante peut prétendre à l’indemnité en cas de réduction de l’horaire de travail pour ses collaborateurs employés dans le secteur du transport public régional de voyageurs pour la période du 1er avril au 31 mai 2020. b) Il n’y a pas lieu de percevoir de frais judiciaires, la loi spéciale ne le prévoyant pas (art. 61 let. fbis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