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ZQ22.043484 vom 20. März 2023</w:t>
      </w:r>
    </w:p>
    <w:p>
      <w:r>
        <w:t>VD Tribunal cantonal, 2023-03-20, FR</w:t>
      </w:r>
    </w:p>
    <w:p>
      <w:r>
        <w:rPr>
          <w:b/>
        </w:rPr>
        <w:t xml:space="preserve">Quelle: </w:t>
      </w:r>
      <w:r>
        <w:t>https://mcp.opencaselaw.ch/entscheid/vd_gerichte_ZQ22.043484</w:t>
      </w:r>
    </w:p>
    <w:p>
      <w:r>
        <w:t>FR: VD_GERICHTE ZQ22.043484 du 20 mars 2023</w:t>
      </w:r>
    </w:p>
    <w:p>
      <w:r>
        <w:t>IT: VD_GERICHTE ZQ22.043484 del 20 marzo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l’indemnité en cas de réduction de l’horaire de travail pour la période du 7 juin au 6 décembre 2022.</w:t>
      </w:r>
    </w:p>
    <w:p>
      <w:r>
        <w:rPr>
          <w:b/>
        </w:rPr>
        <w:t>E. 3</w:t>
      </w:r>
    </w:p>
    <w:p>
      <w:r>
        <w:t>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consid. 3.1). Les problèmes structurels se caractérisent par une inadaptation de l’entreprise par rapport à la demande ; cette inadaptation peut concerner notamment la dimension de</w:t>
      </w:r>
    </w:p>
    <w:p>
      <w:r>
        <w:t>- 7 - l’entreprise, ses techniques de production, les produits et les services offerts ainsi que leurs prix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ATF 138 V 333 ; TF 8C_603/2015 du 15 avril 2016 consid. 2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d) La perte de travail doit être limitée dans le temps pour être indemnisable, l’idée étant d’aider temporairement des entreprises viables</w:t>
      </w:r>
    </w:p>
    <w:p>
      <w:r>
        <w:t>- 8 -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e) Une inadaptation structurelle peut déboucher sur des problèmes de compétitivité à long terme. La pérennité des entreprises structurellement faibles est compromise. Il n’appartient pas à l’assurance- 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travail (TFA C 218/94 du 29 décembre 1994 in : DTA 1995 n° 19 p. 112).</w:t>
      </w:r>
    </w:p>
    <w:p>
      <w:r>
        <w:t>- 9 -</w:t>
      </w:r>
    </w:p>
    <w:p>
      <w:r>
        <w:rPr>
          <w:b/>
        </w:rPr>
        <w:t>E. 4</w:t>
      </w:r>
    </w:p>
    <w:p>
      <w:r>
        <w:t>a) En l’occurrence, la recourante a régulièrement bénéficié de l’indemnité en cas de réduction de l’horaire de travail entre le 16 mars 2020 et le 6 juin 2022 dans le contexte de la pandémie de Covid-19. Il convient de déterminer si la recourante peut prétendre à la poursuite du versement de cette indemnité pour la période du 7 juin au 6 décembre 2022. b) On précisera, à titre liminaire, que les mesures prises par le Conseil fédéral pour lutter contre le coronavirus ont été levées avec effet au 17 février 2022 (cf. communiqué du Conseil fédéral du 16 février 2022), si bien qu’il n’existait, au moment de se prononcer sur le renouvellement du droit à l’indemnité, aucune mesure étatique restrictive susceptible d’impacter l’activité de la recourante. Par conséquent, la situation de cette dernière ne saurait être examinée sous l’angle des art. 32 al. 3 LACI et 51 OACI (pertes de travail consécutives à des mesures prises par les autorités ou dues à d’autres motifs indépendants de la volonté de l’employeur).</w:t>
      </w:r>
    </w:p>
    <w:p>
      <w:r>
        <w:rPr>
          <w:b/>
        </w:rPr>
        <w:t>E. 5</w:t>
      </w:r>
    </w:p>
    <w:p>
      <w:r>
        <w:t>a) En l’espèce, on observe que le raisonnement suivi par l’intimée dans le cadre de sa décision sur opposition ne peut être confirmé en l’état, dès lors qu’il ne semble pas reposer sur un examen détaillé de la situation concrète de la recourante. L’intimée a retenu que les fluctuations importantes des réservations de séjour étaient habituelles au sein de l’établissement de la recourante et ne pouvaient justifier la prise en considération d’une perte de travail à compter du 7 juin 2022. Or l’intimée fait totalement abstraction des différences importantes de chiffres d’affaires que la recourante a connu entre les années 2018 et 2019 (479'271 fr. et 300'690 fr. selon les chiffres communiqués en procédure d’opposition) et les années 2020 et 2021 (136'663 fr. et 104'009 fr.). De même, en soutenant que les circonstances avancées par la recourante (« pandémie » ; « crise en Ukraine ») n’étaient pas suffisantes pour justifier une perte de travail, l’intimée semble ignorer qu’elles ont pourtant des conséquences concrètes quant à la fréquentation de l’établissement de la recourante eu égard au modèle économique choisi par celle-ci.</w:t>
      </w:r>
    </w:p>
    <w:p>
      <w:r>
        <w:t>- 10 - b) Cela étant, il n’y a pas lieu d’examiner plus en détail si le raisonnement tenu par l’intimée peut néanmoins être protégé, la décision sur opposition querellée devant être confirmée pour un autre motif.</w:t>
      </w:r>
    </w:p>
    <w:p>
      <w:r>
        <w:rPr>
          <w:b/>
        </w:rPr>
        <w:t>E. 6</w:t>
      </w:r>
    </w:p>
    <w:p>
      <w:r>
        <w:t>a) En l’occurrence, il est établi que la recourante a bénéficié de l’indemnité en cas de réduction de l’horaire de travail du 16 mars 2020 au 6 juin 2022, soit sur une période de vingt-sept mois. Au moment de se prononcer sur le renouvellement du droit à l’indemnité, il existait de sérieux indices permettant de renverser la présomption que la perte de travail serait vraisemblablement temporaire et que les emplois pourraient être maintenus. Ainsi que le reconnaît la recourante, la diminution continue du chiffre d’affaires subie depuis le mois de mars 2020 résulte de la baisse de fréquentation de son établissement en raison de la défection de la clientèle chinoise et russe. Dans les faits, la recourante fait donc face à un phénomène structurel – lié au business model qu’elle a choisi – qui impacte défavorablement et durablement son activité. Or, dans la mesure où l’évolution de l’environnement économique fait partie des circonstances inhérentes aux risques d’exploitation qui doivent généralement être assumés par une entreprise au sens de l’art. 33 al. 1 let. a LACI, la recourante ne saurait prétendre à l’indemnité en cas de réduction de l’horaire de travail afin de compenser la perte de travail subie par son employée. b) Dans ces conditions, il y a lieu de retenir que la réduction de l’horaire de travail ne revêtait plus, au moment de la demande de renouvellement du droit aux indemnités, un caractère temporaire au sens de l’art. 31 al. 1 let. d LACI. C’est le lieu de préciser qu’il n’appartient pas à l’assurance-chômage de contribuer, par son intervention, à financer une adaptation structurelle qui apparaît nécessaire en l’espèce au regard des incertitudes concernant la reprise du tourisme chinois et le conflit armé en Ukraine. c) C’est par conséquent à bon droit que l’intimée a refusé d’accorder à la recourante le droit à l’indemnité en cas de réduction de l’horaire de travail pour la période du 7 juin au 6 décembre 2022.</w:t>
      </w:r>
    </w:p>
    <w:p>
      <w:r>
        <w:t>- 11 - d) Enfin, on ne voit pas que l’audition de la directrice de la recourante soit susceptible de modifier l’issue du présent litige, de sorte que la requête formulée à cette fin peut être écartée par appréciation anticipée des preuves (ATF 124 V 90 consid. 4b et 122 V 157 consid. 1d).</w:t>
      </w:r>
    </w:p>
    <w:p>
      <w:r>
        <w:rPr>
          <w:b/>
        </w:rPr>
        <w:t>E. 7</w:t>
      </w:r>
    </w:p>
    <w:p>
      <w:r>
        <w:t>a) Sur le vu de ce qui précède, le recours est rejeté et la décision sur opposition du 26 septembre 2022 confirmée. b) Il n’y a pas lieu de percevoir de frais judiciaires (art. 61 let. fbis LPGA), ni d’allouer de dépens à la recourante, qui n’obtient pas gain de cause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