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ZQ22.040468 vom 9. Dezember 2022</w:t>
      </w:r>
    </w:p>
    <w:p>
      <w:r>
        <w:t>VD Tribunal cantonal, 2022-12-09, FR</w:t>
      </w:r>
    </w:p>
    <w:p>
      <w:r>
        <w:rPr>
          <w:b/>
        </w:rPr>
        <w:t xml:space="preserve">Quelle: </w:t>
      </w:r>
      <w:r>
        <w:t>https://mcp.opencaselaw.ch/entscheid/vd_gerichte_ZQ22.040468</w:t>
      </w:r>
    </w:p>
    <w:p>
      <w:r>
        <w:t>FR: VD_GERICHTE ZQ22.040468 du 9 décembre 2022</w:t>
      </w:r>
    </w:p>
    <w:p>
      <w:r>
        <w:t>IT: VD_GERICHTE ZQ22.040468 del 9 dicembre 2022</w:t>
      </w:r>
    </w:p>
    <w:p>
      <w:pPr>
        <w:pStyle w:val="Heading2"/>
      </w:pPr>
      <w:r>
        <w:t>Erwägungen</w:t>
      </w:r>
    </w:p>
    <w:p>
      <w:r>
        <w:rPr>
          <w:b/>
        </w:rPr>
        <w:t>E. 28</w:t>
      </w:r>
    </w:p>
    <w:p>
      <w:r>
        <w:t>août 2021 auprès de la C.________ (ci-après : la caisse ou l’intimée). Il a bénéficié de l’ouverture d’un délai-cadre d’indemnisation de deux ans du</w:t>
      </w:r>
    </w:p>
    <w:p>
      <w:r>
        <w:rPr>
          <w:b/>
        </w:rPr>
        <w:t>E. 30</w:t>
      </w:r>
    </w:p>
    <w:p>
      <w:r>
        <w:t>juillet 2021 annexé à ce courrier, il est écrit en particulier que, pour des motifs de structure, il ne pouvait parfois pas être accédé aux requêtes de l’assuré et qu’un délai lui avait été fixé au 30 septembre 2021 pour « s’adapter aux divers interlocuteurs de l’encadrement ». Par décision du 13 septembre 2021, la caisse a suspendu le droit de l’assuré à l’indemnité de chômage pour une durée de seize jours dès le 30 août 2021 pour chômage fautif, lui reprochant, par son attitude, d’avoir donné un motif à l’employeur de mettre fin au contrat de travail, et partant, avoir sciemment pris le risque de se retrouver au chômage.</w:t>
      </w:r>
    </w:p>
    <w:p>
      <w:r>
        <w:t>- 5 - L’assuré a fait opposition le 29 septembre 2021 en demandant l’annulation de la décision précitée, fort de ses précédentes explications sur les circonstances conduisant à la résiliation de son dernier emploi auprès du R.________ SA. Par décision sur opposition du 16 septembre 2022, la caisse a confirmé le prononcé d’une pénalité de seize jours de suspension dans l’exercice du droit de l’assuré à l’indemnité de chômage, sanction minimum en cas de faute moyenne. B. Par acte du 7 octobre 2022, Z.________, représenté par Me Armando Pedro Ribeiro, a recouru contre la décision sur opposition précitée devant la Cour des assurances sociales du Tribunal cantonal en concluant à sa réforme, en ce sens qu’aucune suspension du droit à l’indemnité de chômage ne soit prononcée à son encontre. Subsidiairement, il a conclu à l’annulation de la décision sur opposition attaquée et au renvoi de la cause à la caisse intimée pour nouvelle décision dans le sens des considérants ; plus subsidiairement encore, il a conclu à la réforme de la décision sur opposition querellée, en ce sens qu’une suspension pour faute légère ne dépassant pas cinq jours soit prononcée à son encontre. Il sera fait état des arguments développés par le recourant à l’appui de ses conclusions, dans les considérants de droit du présent arrêt. A titre de mesures d’instruction, il a requis son audition personnelle ainsi que celle de son ex-employeur. Par réponse du 11 novembre 2022, la caisse intimée a renoncé à s’exprimer et conclu au rejet du recours. E n d r o i t : 1. a) La LPGA (loi fédérale du 6 octobre 2000 sur la partie générale du droit des assurances sociales ; RS 830.1) est, sauf dérogation expresse, applicable en matière d’assurance-chômage (art. 1 al. 1 LACI [loi</w:t>
      </w:r>
    </w:p>
    <w:p>
      <w:r>
        <w:t>- 6 -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(à savoir, seize indemnités journalières pour un montant total de 4'314 fr. 40 [16 x 269 fr. 65]), la cause est de la compétence du juge unique (art. 94 al. 1 let. a LPA- VD). 2. Le litige porte sur le point de savoir si la suspension du droit à l’indemnité de chômage de seize jours dès le 30 août 2021 prononcée à l’encontre du recourant est justifiée quant à son principe, le cas échéant quant à sa quotité, au motif que l’assuré a commis une faute de gravité moyenne en étant licencié durant la période d’essai en raison de son attitude personnelle inconvenante pour le poste occupé. 3. Doit en premier lieu être examiné le point de savoir si en raison de son comportement jugé non-adéquat ayant conduit à la fin des rapports de travail au 27 aout 2021, le recourant a, sur le principe, commis une faute justifiant une sanction sous la forme d’une suspension du versement de ses indemnités de chômage. a) Le non-respect des devoirs prévus à l’art. 17 LACI peut donner lieu à une suspension du droit à l’indemnité de chômage (art. 30</w:t>
      </w:r>
    </w:p>
    <w:p>
      <w:r>
        <w:t>- 7 -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Selon l’art. 30 al. 1 let. a LACI, le droit de l’assuré à l’indemnité est suspendu lorsqu’il est établi que celui-ci est sans travail par sa propre faute. Tel est en principe le cas de l’employé qui par son comportement, en particulier par la violation de ses obligations contractuelles de travail, a donné à son employeur un motif de résiliation du contrat de travail (art. 44 al. 1 let. a OACI). La suspension du droit à l’indemnité prononcée en raison du chômage dû à une faute de l’assuré, en application de l’art. 44 al. 1 let. a OACI, ne suppose pas une résiliation des rapports pour justes motifs au sens de l’art. 337 CO. Il suffit que le comportement général de l’assuré ait donné lieu au congédiement de celui-ci, même sans qu’il y ait de reproches d’ordre professionnel à lui faire (TF 8C_497/2011 du 4 avril 2012 consid. 4). Tel peut être le cas aussi lorsque l’assuré présente un caractère, dans un sens large, qui rend les rapports de travail intenables (ATF 112 V 242 consid. 1 ; TF 8C_660/2009 du 18 mars 2010 consid. 3 et les références). Il suffit que le comportement à l’origine de la résiliation ait pu être évité si l’assuré avait fait preuve de la diligence voulue, en se comportant comme si l’assurance n’existait pas (ATF 112 V 242 consid. 1 ; arrêts du 16 février 2005 [C 212/04] et du 13 août 2003 [C 32/03]). Il est nécessaire en outre que l’assuré ait délibérément contribué à son renvoi, c’est-à-dire qu’il ait au moins pu s’attendre à recevoir son congé et qu’il se soit ainsi rendu coupable d’un dol éventuel (BORIS RUBIN, Commentaire de la loi sur l’assurance-chômage, Genève/Zurich/Bâle 2014 n. 24 ad art. 30 LACI).</w:t>
      </w:r>
    </w:p>
    <w:p>
      <w:r>
        <w:t>- 8 - c) Pour qu’une sanction se justifie, il faut que le comportement de l’assuré ait causé son chômage. Un tel lien fait défaut si la résiliation est fondée essentiellement sur un autre motif que le comportement du travailleur. Peu importe que le contrat de travail ait été résilié de façon immédiate et pour de justes motifs ou à l’échéance du congé légal ou contractuel. Une suspension ne peut être infligée que si le comportement reproché à l’assuré est clairement établi (ATF 112 V 242 consid. 1 ; TF 8C_497/2011 précité consid. 4). Selon l’art. 20 let. b de la Convention OIT n° 168 (Convention n° 168 de l’Organisation internationale du Travail [OIT] du 21 juin 1988 concernant la promotion de l’emploi et la protection contre le chômage ; RS 0.822.726.8), il est nécessaire que l’assuré a délibérément contribué à son renvoi, c’est-à-dire qu’il a au moins pu s’attendre à recevoir son congé et qu’il se soit ainsi rendu coupable d’un dol éventuel (TF 8C_268/2015 du 6 août 2015 consid. 4.2 et les références citées). d) En l’espèce, il est reproché à l’assuré d’avoir adopté un comportement ayant provoqué son licenciement de chez R.________ SA durant le temps d’essai. L’ex-employeur lui reproche des comportements non appropriés envers ses supérieurs et certains collègues, la remise en cause et non-satisfaction du déroulement de la formation ainsi que de la manière de travailler au sein du groupe, circonstances qui ne convenaient pas aux attentes du poste de conseiller en question. C’est en vain que le recourant fait valoir qu’il donnait pleinement satisfaction à son employeur à l’issue du premier module de formation le 30 juillet 2021, soit deux semaines avant son congédiement, partant que son licenciement n’a pas été précédé d’un avertissement. En effet, il ressort du compte-rendu d’évaluation du module n° 1 au dossier qu’un délai avait été fixé au recourant afin qu’il s’adapte aux divers interlocuteurs de l’encadrement qui, pour des motifs de structure, ne pouvaient parfois pas accéder aux requêtes de l’intéressé (cf. pièce 26 dernière page). La lettre de licenciement datée du 18 août 2021 contient le même reproche, de sorte que la demande formulée par l’employeur n’avait semble-t-il pas trouvé l’écho, respectivement été prise en compte,</w:t>
      </w:r>
    </w:p>
    <w:p>
      <w:r>
        <w:t>- 9 - par l’assuré dans le cadre de son ancien poste de travail. Le motif à la base du licenciement signifié le 18 août 2021 par écrit est donc identique à l’avertissement écrit donné le 30 juillet 2021, ou de même nature. Par ailleurs, le recourant n’a pas contesté le congé comme étant abusif au motif qu’il aurait été donné en raison d’un différend personnel avec son supérieur hiérarchique D.________. Au contraire, il existait des relations de travail tendues entre l’assuré et plusieurs autres collaborateurs, avec également des critiques formulées sur la formation ainsi que de la manière de travailler au sein du groupe. Ce sont ces divers éléments qui, aux dires de l’ex-employeur, ont rendu les rapports de travail intenables au sein de l’entreprise. Partant, excepté sa propre version des faits à la base de son congédiement, le recourant a adopté, ou à tout le moins n’a pas amendé, et ceci malgré la mise en garde écrite dont il a pourtant bénéficié de la part de l’ancien employeur, un comportement entraînant la perte de son poste de conseiller auprès de R.________ SA durant le temps d’essai. e) Compte tenu de l’ensemble des circonstances et malgré les explications fournies, il est établi que le comportement de l’assuré a donné lieu à son licenciement en raison de la dégradation des relations de confiance avec son ancien employeur, comportement qui aurait pu être évité, ce d’autant plus qu’il avait été demandé par écrit à celui-ci de remédier à son manque d’adaptation au sein du groupe. Dans ces conditions, on ne saurait faire grief à l’intimée d’avoir considéré que la perte d’emploi était due à une faute de l’assuré au sens de l’art. 30 al. 1 let. a LACI, correctement sanctionnée par une suspension dans l’exercice de son droit à l’indemnité de chômage. 4. La suspension du droit à l’indemnité de chômage étant fondée dans son principe, il convient dans un second temps de qualifier la gravité de la faute, afin de se prononcer en conséquence sur la quotité de la suspension. a) En vertu de l’art. 30 al. 3 LACI, la durée de la suspension est proportionnelle à la gravité de la faute et ne peut excéder soixante jours par motif de suspension. Aux termes de l’art. 45 al. 3 OACI, la durée de la</w:t>
      </w:r>
    </w:p>
    <w:p>
      <w:r>
        <w:t>- 10 - suspension dans l’exercice du droit à l’indemnité est de 1 à 15 jours en cas de faute légère (let. a), de 16 à 30 jours en cas de faute de gravité moyenne (let. b) et de 31 à 60 jours en cas de faute grave (let. c). b)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c) In casu, en infligeant une sanction pour faute de gravité moyenne et en la fixant en l’occurrence à seize jours indemnisables, celle- ci demeure dans le cadre défini par l’art. 30 al. 3 LACI ainsi que l’art. 45 al. 3 let. b OACI. La quotité de la suspension, qui correspond par ailleurs à la sanction minimum en cas de faute de gravité moyenne, est appropriée au cas d’espèce et elle ne prête dès lors pas flanc à la critique. 5. Le dossier est complet, permettant ainsi à la Juge unique de la Cour de statuer en connaissance de cause. Un complément d’instruction apparaît inutile et les requêtes formulées en ce sens par le recourant – à savoir, son audition personnelle et celle de son ancien employeur – doivent dès lors être rejetées. Notamment l’ex-employeur s’est déjà exprimé par le biais de courriels des 2 et 6 septembre 2021 adressés à l’autorité administrative, ce qui est suffisant, sans qu'il ne soit nécessaire de l’entendre oralement. Le recourant a également pu s'exprimer tout au long de la procédure et on ne voit pas en quoi son audition pourrait être utile.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w:t>
      </w:r>
    </w:p>
    <w:p>
      <w:r>
        <w:t>- 11 - l’amener à modifier son avis (ATF 145 I 167 consid. 4.1 ; 140 I 285 consid. 6.3.1 ; 130 II 425 consid. 2.1). Tel est le cas en l’espèce. 6. a) En définitive, le recours, mal fondé, doit être rejeté et la décision sur opposition attaquée confirmée. b) Il n’y a pas lieu de percevoir de frais judiciaires (art. 61 let. fbis LPGA), ni d’allouer de dépens au recourant, qui n’obtient pas gain de cause (art. 61 let. g LPGA). Par ces motifs, la juge unique p r o n o n c e : I. Le recours est rejeté. II. La décision sur opposition rendue le 16 septembre 2022 par la C.________ est confirmée. III. Il n’est pas perçu de frais judiciaires, ni alloué de dépens. La juge unique : Le greffier : Du</w:t>
      </w:r>
    </w:p>
    <w:p>
      <w:r>
        <w:t>- 12 - L'arrêt qui précède est notifié à : - Me Armando Pedro Ribeiro (pour Z.________), - C.________,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