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ZQ22.028658 vom 13. November 2023</w:t>
      </w:r>
    </w:p>
    <w:p>
      <w:r>
        <w:t>VD Tribunal cantonal, 2023-11-13, FR</w:t>
      </w:r>
    </w:p>
    <w:p>
      <w:r>
        <w:rPr>
          <w:b/>
        </w:rPr>
        <w:t xml:space="preserve">Quelle: </w:t>
      </w:r>
      <w:r>
        <w:t>https://mcp.opencaselaw.ch/entscheid/vd_gerichte_ZQ22.028658</w:t>
      </w:r>
    </w:p>
    <w:p>
      <w:r>
        <w:t>FR: VD_GERICHTE ZQ22.028658 du 13 novembre 2023</w:t>
      </w:r>
    </w:p>
    <w:p>
      <w:r>
        <w:t>IT: VD_GERICHTE ZQ22.028658 del 13 novembre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w:t>
      </w:r>
    </w:p>
    <w:p>
      <w:r>
        <w:rPr>
          <w:b/>
        </w:rPr>
        <w:t>E. 2</w:t>
      </w:r>
    </w:p>
    <w:p>
      <w:r>
        <w:t>Le litige a pour objet le droit de la recourante à l’indemnité en cas de réduction de l’horaire de travail pour la période du 1er décembre 2021 au 30 juin 2022.</w:t>
      </w:r>
    </w:p>
    <w:p>
      <w:r>
        <w:rPr>
          <w:b/>
        </w:rPr>
        <w:t>E. 3</w:t>
      </w:r>
    </w:p>
    <w:p>
      <w:r>
        <w:t>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b) Selon l’art. 32 al. 1 LACI, la perte de travail n'est prise en considération que si elle est due à des facteurs d'ordre économique et est inévitable, et si elle est d'au moins 10 % de l'ensemble des heures normalement effectuées par les travailleurs de l'entreprise. Par facteurs d’ordre économique, il faut entendre tant les facteurs structurels que les facteurs conjoncturels, le Tribunal fédéral refusant de procéder à une distinction claire entre ces deux facteurs, ceux-ci étant souvent juxtaposés, voire imbriqués l’un dans l’autre ; pour le reste, il procède à une interprétation large du terme « ordre économique ». Font partie des facteurs conjoncturels notamment les baisses de commandes d’un produit ou d’un service que l’employeur vend habituellement (ATF 128 V 305 consid. 3a ; TF 8C_267/2012 du 28 septembre 2012 consid. 3.1). Les problèmes structurels se caractérisent par une inadaptation de l’entreprise par rapport à la demande ; cette inadaptation peut concerner notamment la dimension de l’entreprise, ses techniques de production, les produits et les services offerts ainsi que leurs prix (Boris Rubin, Commentaire de la loi sur l’assurance-chômage, Genève/Zurich/Bâle 2014, n° 6 ad art. 32 LACI). c) Cependant, même quand la perte de travail satisfait à ces critères, elle n'est pas prise en considération lorsqu'elle est due à des circonstances inhérentes aux risques normaux d'exploitation que</w:t>
      </w:r>
    </w:p>
    <w:p>
      <w:r>
        <w:t>- 7 - l'employeur doit assumer (art. 33 al. 1 let. a LACI ; ATF 138 V 333 ; TF 8C_603/2015 du 15 avril 2016 consid. 2 ; TFA C 173/03 du 23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SVR 2003 ALV n° 9 p. 27 ; TFA du 10 mars 1994 in : DTA 1995 n° 20 p. 117 consid. 1b ; TFA C 283/01 du 8 octobre 2003 consid. 3).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Selon la jurisprudence, tant qu’il n’existe pas de faits ou d’éléments concrets qui indiquent le contraire, on doit présumer que la réduction de l’horaire de travail est vraisemblablement temporaire et que des emplois pourront être maintenus (ATF 121 V 373 consid. 2a ; 111 V</w:t>
      </w:r>
    </w:p>
    <w:p>
      <w:r>
        <w:t>- 8 - 379 consid. 2b).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temporaire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e) 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travail (TFA C 218/94 du 29 décembre 1994 in : DTA 1995 n° 19 p. 112).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- 9 -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5</w:t>
      </w:r>
    </w:p>
    <w:p>
      <w:r>
        <w:t>a) En l’espèce, la recourante a revendiqué la poursuite du versement des indemnités en cas de réduction de l’horaire de travail du 1er décembre 2021 au 30 juin 2022. Durant cet intervalle, singulièrement le 17 décembre 2021, le Conseil fédéral avait imposé, à compter du 20 décembre 2021, la limitation des rencontres privées et publiques, la limitation d’accès aux restaurants, bars et boîtes de nuit (règle dite des « 2G »), ainsi qu’une obligation de travailler à domicile (art. 12, 13, 15 et 25 al. 5 de l’ordonnance COVID-19 situation particulière [ordonnance sur les mesures destinées à lutter contre l’épidémie de COVID-19 en situation particulière du 23 juin 2021] ; état au 20 décembre 2021 ; RS 818.101.26). Lesdites mesures ont été levées par le Conseil fédéral avec effet au 3 février 2022 (obligation du travail à domicile, muée en recommandation), respectivement 17 février 2022 (autres mesures ; ordonnance COVID-19 situation particulière ; état au 16 février 2022). b) Contrairement à ce que semble soutenir la recourante, on ne voit pas que de telles mesures soient véritablement de nature à impacter ses activités, puisqu’il lui était loisible de se rendre auprès de sa clientèle et de procéder aux démarches indispensables à la mise en œuvre concrète de ses logiciels. On ne saurait dès lors considérer que les mesures étatiques auraient eu une incidence directe sur sa perte de travail ou la baisse de son chiffre d’affaires.</w:t>
      </w:r>
    </w:p>
    <w:p>
      <w:r>
        <w:rPr>
          <w:b/>
        </w:rPr>
        <w:t>E. 6</w:t>
      </w:r>
    </w:p>
    <w:p>
      <w:r>
        <w:t>a) Il est établi, dans le cas particulier que la recourante a bénéficié de l’indemnité en cas de réduction de l’horaire de travail du 26 mars 2020 au 30 novembre 2021, soit sur une période de vingt mois. Par conséquent, au moment de se prononcer sur le renouvellement du droit à l’indemnité, il existait de sérieux indices permettant de renverser la présomption que la perte de travail serait vraisemblablement temporaire</w:t>
      </w:r>
    </w:p>
    <w:p>
      <w:r>
        <w:t>- 10 - et que les emplois pourraient être maintenus. Ainsi que le reconnaît la recourante, la perte de travail qu’elle subit est liée aux difficultés auxquelles elle est confrontée face aux réticences de ses clients, ceux-ci ayant pour l’essentiel reporté leurs commandes et la mise en place du matériel informatique développé par la recourante. Cette dernière subit également les conséquences des problèmes de livraison accusés par certains fournisseurs. Pour autant, on ne peut plus parler, au moment de la décision sur opposition litigieuse, d’une perte de travail exceptionnelle et imprévisible. b) En effet, il ressort des explications fournies par la recourante que la diminution d’activité relevée à fin 2021 et début 2022 a trait aux comportements commerciaux de ses clients (reports, réductions budgétaires) et est liée à un contexte économique défavorable. Cela étant, on ne voit pas ce qui aurait empêché la recourante d’envisager de nouvelles stratégies ou de démarcher une clientèle plus large afin d’éviter, dans la mesure du possible, de se trouver dans les difficultés financières avancées. c) Par ailleurs, il convient d’ajouter que la recourante ne peut se prévaloir d’aucune garantie quant aux intentions de sa clientèle, ce qui constitue incontestablement une circonstance inhérente aux risques d'exploitation généralement assumés par une entreprise au sens de l’art. 33 al. 1 let. a LACI. A cet égard, les circonstances avancées par la recourante (difficultés économiques présentées par ses clients et fournisseurs) doivent désormais être considérées comme des risques normaux d’exploitation et n’apparaissent plus suffisantes pour justifier à elles seules une perte de travail. d) Dans ces conditions, il y a lieu de retenir que les indemnités en cas de réduction de l’horaire de travail ne revêtaient plus, au moment de la demande de renouvellement du droit aux indemnités, un caractère temporaire au sens de l’art. 31 al. 1 let. d LACI.</w:t>
      </w:r>
    </w:p>
    <w:p>
      <w:r>
        <w:t>- 11 - e) C’est par conséquent à bon droit que l’intimée a refusé d’accorder à la recourante le droit à l’indemnité en cas de réduction de l’horaire de travail pour la période litigieuse.</w:t>
      </w:r>
    </w:p>
    <w:p>
      <w:r>
        <w:rPr>
          <w:b/>
        </w:rPr>
        <w:t>E. 7</w:t>
      </w:r>
    </w:p>
    <w:p>
      <w:r>
        <w:t>a) Sur le vu de ce qui précède, le recours est rejeté et la décision sur opposition du 16 juin 2022 confirmée. b) Il n’y a pas lieu de percevoir de frais judiciaires (art. 61 let. fbis LPGA), ni d’allouer de dépens à la recourante, qui n’obtient pas gain de cause et n’est de toute façon pas représentée par un mandataire professionnel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