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ZQ22.023885 vom 22. November 2022</w:t>
      </w:r>
    </w:p>
    <w:p>
      <w:r>
        <w:t>VD Tribunal cantonal, 2022-11-22, FR</w:t>
      </w:r>
    </w:p>
    <w:p>
      <w:r>
        <w:rPr>
          <w:b/>
        </w:rPr>
        <w:t xml:space="preserve">Quelle: </w:t>
      </w:r>
      <w:r>
        <w:t>https://mcp.opencaselaw.ch/entscheid/vd_gerichte_ZQ22.023885</w:t>
      </w:r>
    </w:p>
    <w:p>
      <w:r>
        <w:t>FR: VD_GERICHTE ZQ22.023885 du 22 novembre 2022</w:t>
      </w:r>
    </w:p>
    <w:p>
      <w:r>
        <w:t>IT: VD_GERICHTE ZQ22.023885 del 22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recours porte sur la question de savoir si c’est à bon droit que l’intimée a nié le droit de la recourante à l’indemnité en cas de réduction de l’horaire de travail à compter du 1er avril 2021 et, corollairement, si elle était fondée à réclamer la restitution des prestations versées d’avril au septembre 2021.</w:t>
      </w:r>
    </w:p>
    <w:p>
      <w:r>
        <w:rPr>
          <w:b/>
        </w:rPr>
        <w:t>E. 3</w:t>
      </w:r>
    </w:p>
    <w:p>
      <w:r>
        <w:t>a) Selon l’art. 31 al. 1 LACI,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w:t>
      </w:r>
    </w:p>
    <w:p>
      <w:r>
        <w:t>- 6 - d. la réduction de l’horaire de travail est vraisemblablement temporaire, et si l’on peut admettre qu’elle permettra de maintenir les emplois en question. b) L’art. 31 al. 3 LACI précise que n’ont pas droit à l’indemnité en cas de réduction de l’horaire de travail :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Selon la jurisprudence relative à l'art. 31 al. 3 let. c LACI,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(art. 716 à 716b CO).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w:t>
      </w:r>
    </w:p>
    <w:p>
      <w:r>
        <w:t>- 7 - la société, fût-ce en ne disposant que d'une signature collective (ATF 145 V 200 consid. 4.2 ; 122 V 270 consid. 3 ; TF 8C_171/2012 du 11 avril 2013 consid. 6.1 et les références citées). c) L'art. 2 de l’ordonnance du 20 mars 2020 sur les mesures dans le domaine de l’assurance-chômage en lien avec le coronavirus (Ordonnance COVID-19 assurance-chômage ; RS 837.033) a instauré une dérogation temporaire à la règle fixée par l'art. 31 al. 3 let. c LACI en ce sens que, du 1er mars au 31 mai 2020, les personnes qui fixent les décisions que prend l’employeur – ou peuvent les influencer considérablement – en qualité d’associé, de membre d’un organe dirigeant de l’entreprise ou encore de détenteur d’une participation financière à l’entreprise, ainsi que leurs conjoints et leur partenaire enregistrés, ont droit l'indemnité en cas de réduction de l'horaire de travail.</w:t>
      </w:r>
    </w:p>
    <w:p>
      <w:r>
        <w:rPr>
          <w:b/>
        </w:rPr>
        <w:t>E. 4</w:t>
      </w:r>
    </w:p>
    <w:p>
      <w:r>
        <w:t>a) En l’espèce, la recourante est une société anonyme, de sorte que, selon la jurisprudence précitée, ses administrateurs font partie des personnes dont le pouvoir de décision découle de la loi et qui sont réputées disposer d’une influence déterminante dans la gestion de l’entreprise. Or C.C.________ et Q.________ ont tous deux été nommés administrateurs de la société avec droit de signature collective à deux par décision prise le 1er avril 2021 par l’assemblée générale extraordinaire des actionnaires. La recourante a d’ailleurs admis, dans son opposition, que cette inscription avait été faite alors que les administrateurs initiaux, parents des administrateurs nouvellement nommés, avaient pris leur retraite et souhaitaient donner une plus grande autonomie à leurs enfants dans la gestion de l’entreprise. Une fois désignés organes formels de la recourante, Q.________ et C.C.________ ne pouvaient plus prétendre au versement d’indemnités en cas de réduction de l’horaire de travail en application de l’art. 31 al. 3 let. c LACI, le régime exceptionnel instauré par l’art. 2 de l’ordonnance COVID- 19 assurance-chômage n’ayant pas été reconduit au-delà du 31 mai 2020. Toutefois, compte tenu des circonstances particulières liées à la pandémie de Covid-19, l’intimée a procédé au paiement de l’indemnité sur la base</w:t>
      </w:r>
    </w:p>
    <w:p>
      <w:r>
        <w:t>- 8 - d’un examen sommaire du dossier, chaque versement constituant une décision d’octroi de prestation au sens de l’art. 51 LPGA. Elle a agi en vertu de l’autorisation délivrée le 16 avril 2021 par le Service de l’emploi, laquelle était fondée sur le préavis de réduction de l’horaire de travail déposé par la recourante le 23 mars 2021. La nomination de Q.________ et C.C.________ en qualité d’administrateurs est intervenue entre-temps, ce dont l’intimée n’a pris conscience qu’en novembre 2021 en procédant à une vérification ponctuelle du dossier. Il s’agit par conséquent d’un fait nouveau important, justifiant une révision procédurale au sens de l’art. 53 al. 1 LPGA. Aussi, c’est à juste titre que l’intimée a rendu une décision de révision procédurale niant le droit de la recourante à l’indemnité en cas de réduction de l’horaire de travail pour la période du 20 avril au 19 octobre 2021. b) Au stade du recours, la recourante ne soulève pas d’élément en faveur de l’admission d’un droit aux prestations sollicitées. En procédure d’opposition, elle a principalement fait valoir qu’elle avait été mal conseillée et qu’elle n’avait ainsi pas pu se rendre compte des conséquences dommageables qui résulteraient de l’inscription de ses employés au registre du commerce en tant qu’administrateurs. L’intimée a réfuté ce grief en expliquant qu’aucune violation de son obligation de renseigner ne pouvait lui être reprochée. L’argumentation de l’intimée, exposée de manière claire et juridiquement étayée, ne prête pas le flanc à la critique et ne soulève du reste pas de commentaire de la part de la recourante. c) Au vu de ce qui précède, il y a lieu de constater que la décision de révision procédurale niant le droit aux indemnités pour la période d’avril à octobre 2021 était fondée.</w:t>
      </w:r>
    </w:p>
    <w:p>
      <w:r>
        <w:rPr>
          <w:b/>
        </w:rPr>
        <w:t>E. 5</w:t>
      </w:r>
    </w:p>
    <w:p>
      <w:r>
        <w:t>Il convient encore d’examiner si la restitution du montant de 13'775 fr. 75, correspondant aux indemnités de RHT allouées pour les mois d’avril à septembre 2021, pouvait être réclamé à la recourante.</w:t>
      </w:r>
    </w:p>
    <w:p>
      <w:r>
        <w:t>- 9 - a) Selon l’art. 95 al. 1 LACI, la demande de restitution est régie par l’art. 25 LPGA, à l’exception des cas relevant des art. 55 et 59c bis al. 4 LACI, lesquels ne sont toutefois pas applicables en l’espèce. Aux termes de l’art. 25 al. 1, 1re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w:t>
      </w:r>
    </w:p>
    <w:p>
      <w:r>
        <w:t>- 10 -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w:t>
      </w:r>
    </w:p>
    <w:p>
      <w:r>
        <w:rPr>
          <w:b/>
        </w:rPr>
        <w:t>E. 6</w:t>
      </w:r>
    </w:p>
    <w:p>
      <w:r>
        <w:t>En l’occurrence, se fondant sur sa décision de révision procédurale par laquelle elle constatait que la recourante n’avait pas droit aux indemnités en cas de réduction de l’horaire de travail à compter du mois d’avril 2021 pour Q.________ et C.C.________, l’intimée a considéré que les prestations versées d’avril à septembre 2021 l’avaient été à tort et qu’elles devaient être remboursées. Cette décision de révision procédurale pouvant être confirmée (cf. consid. 4 supra), les conditions d’une restitution des prestations touchées indûment sont réunies. La recourante n’a pas opposé d’argument quant au principe de la restitution, ni sur le montant réclamé. Elle a uniquement fait valoir que les sommes perçues avaient été utilisées pour continuer de verser un salaire aux personnes concernées et qu’elle ne disposait pas de fonds</w:t>
      </w:r>
    </w:p>
    <w:p>
      <w:r>
        <w:t>- 11 - suffisants pour procéder au remboursement réclamé. Une telle argumentation relève des conséquences de la décision de restitution sur la situation économique de la recourante, ce qui ne peut pas être pris en compte dans l’examen du bien-fondé de la demande de restitution. Cette problématique pourra en revanche faire l’objet d’une demande de remise de l’obligation de restituer (art. 3 à 5 OPGA) pour autant que la recourante en fasse la demande auprès de l’intimée dans le délai légal.</w:t>
      </w:r>
    </w:p>
    <w:p>
      <w:r>
        <w:rPr>
          <w:b/>
        </w:rPr>
        <w:t>E. 7</w:t>
      </w:r>
    </w:p>
    <w:p>
      <w:r>
        <w:t>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