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ZQ22.023266 vom 20. Februar 2023</w:t>
      </w:r>
    </w:p>
    <w:p>
      <w:r>
        <w:t>VD Tribunal cantonal, 2023-02-20, FR</w:t>
      </w:r>
    </w:p>
    <w:p>
      <w:r>
        <w:rPr>
          <w:b/>
        </w:rPr>
        <w:t xml:space="preserve">Quelle: </w:t>
      </w:r>
      <w:r>
        <w:t>https://mcp.opencaselaw.ch/entscheid/vd_gerichte_ZQ22.023266</w:t>
      </w:r>
    </w:p>
    <w:p>
      <w:r>
        <w:t>FR: VD_GERICHTE ZQ22.023266 du 20 février 2023</w:t>
      </w:r>
    </w:p>
    <w:p>
      <w:r>
        <w:t>IT: VD_GERICHTE ZQ22.023266 del 20 febbraio 2023</w:t>
      </w:r>
    </w:p>
    <w:p>
      <w:pPr>
        <w:pStyle w:val="Heading2"/>
      </w:pPr>
      <w:r>
        <w:t>Erwägungen</w:t>
      </w:r>
    </w:p>
    <w:p>
      <w:r>
        <w:rPr>
          <w:b/>
        </w:rPr>
        <w:t>E. 26</w:t>
      </w:r>
    </w:p>
    <w:p>
      <w:r>
        <w:t>janvier 2022. Dans sa motivation, elle a considéré que l’assuré aurait dû essayer de contacter le Registre du commerce afin de se renseigner sur les démarches nécessaires pour la radiation de son inscription et qu’il avait accepté, pendant la période d’octobre 2021 à janvier 2022, de porter officiellement un rôle de représentation de son ancien employeur, notamment sur LinkedIn. Selon elle, il y avait lieu d’appliquer la jurisprudence relative aux personnes occupant une fonction dirigeante même si la fonction de l’assuré ne ressortait pas directement de la loi. B. Par acte du 10 juin 2022, M.________, sous la plume de son mandataire, a recouru contre cette décision auprès de la Cour des assurances sociales du Tribunal cantonal, concluant implicitement à son annulation et explicitement à ce que le droit à l’indemnité chômage lui soit</w:t>
      </w:r>
    </w:p>
    <w:p>
      <w:r>
        <w:t>- 5 - octroyé pour la période du 15 octobre 2021 au 31 janvier 2022, le dossier étant renvoyé à la Caisse pour la fixation du montant de l’indemnité, subsidiairement que l’indemnité journalière soit fixée au montant du plafond de 387 fr. 10. Il a également conclu à ce que le montant de l’indemnité lui soit versé immédiatement augmenté d’un intérêt moratoire fixé à 5 % l’an selon l’échéance moyenne. Il a fait valoir, d’une part, qu’il n’avait accepté aucun rôle de représentation de son ancien employeur, notamment au vu des nombreuses relances orales et écrites pour obtenir la radiation de sa signature au Registre du commerce et, d’autre part, que le retard dans la demande de radiation au Registre du commerce était du fait de ce dernier et qu’elle aurait dû intervenir le 15 octobre 2021. Il a également expliqué qu’il était établi qu’il n’avait jamais été actionnaire de son ancien employeur et que si les faits contredisaient manifestement l’inscription au Registre du commerce, la Caisse devait alors s’écarter de la simple inscription. Dans sa réponse du 4 août 2022, l’intimée a maintenu sa position et proposé le rejet du recours sans suite de frais et dépens.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w:t>
      </w:r>
    </w:p>
    <w:p>
      <w:r>
        <w:t>- 6 - 2008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l’indemnité journalière de chômage dès le 20 octobre 2021, soit dès la date où il en a demandé l’octroi (cf. demande signée le 1er novembre 2021) et non dès le 15 octobre 2021 comme mentionné dans les conclusions. Il s’agit plus particulièrement de déterminer s’il a occupé une position assimilable à celle d’un employeur au sein de l’entreprise R.________. 3. a) Aux termes de l’art. 8 LACI, l’assuré a droit à l’indemnité de chômage s’il remplit, de manière cumulative, les conditions fixées à l’alinéa 1 de cette disposition.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8C_384/2020 du 22 décembre 2020 consid. 3.1).</w:t>
      </w:r>
    </w:p>
    <w:p>
      <w:r>
        <w:t>- 7 - La jurisprudence en cause a pour but d’écarter un risque d’abus consistant notamment, de la part de la personne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8C_384/2020 précité consid. 3.1 et TF 8C_811/2019 du 12 novembre 2020 consid. 3.1.1). b)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[code des obligations du 30 mars 1911 ; RS 220])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(ATF 145 V 200 consid. 4.2 ; 122 V 270 consid. 3 ; TF 8C_384/2020 consid. 3.1 et 8C_811/2019 consid. 3.1.3 précités et les références). c) La situation est en revanche différente quand la personne salariée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 personne assurée,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8C_384/2020 consid. 3.1 et 8C_811/2019 consid. 3.1.2 précités).</w:t>
      </w:r>
    </w:p>
    <w:p>
      <w:r>
        <w:t>- 8 - Lorsque la personne salariée est membre d’un conseil d’administration ou associé d’une société à responsabilité limitée, l’inscription au Registre du commerce constitue en règle générale le critère de délimitation décisif (ATF 122 V 270 consid. 3). Autrement, en effet, la possibilité demeure que celle-ci réactive l’entreprise et se fasse réengager. En fait, il suffit qu’une continuité des activités soit possible pour que le droit doive être nié en raison d’un risque de contournement de la loi. Cependant, si malgré le maintien de l’inscription au Registre du commerce, la personne assurée prouve qu’elle ne possède effectivement plus ce pouvoir, il n’y a pas détournement de la loi.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 TF 8C_102/2018 du 21 mars 2018 consid. 6.3 ; TF 8C_1016/2012 du 19 août 2013 consid. 4.3 et les références). 4.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en cause soient suffisamment élucidés (TF 9C_88/2013 du 4 septembre 2013 consid. 4.1.2 ; 9C_414/2014 du 31 juillet 2014 consid. 3.1.3).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 TF U 316/06 du 6 juillet 2007 consid. 3.1.1). b) Dans le domaine des assurances sociales, le juge fonde sa décision, sauf dispositions contraires de la loi, sur les faits qui, faute d’être</w:t>
      </w:r>
    </w:p>
    <w:p>
      <w:r>
        <w:t>- 9 -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En l’espèce, l’intimée a considéré que le recourant avait conservé un pouvoir décisionnel dans la société jusqu’au 12 janvier 2022, date de la réquisition de radiation de sa signature au Registre du commerce. Ainsi, elle se réfère uniquement au critère de l’inscription au Registre du commerce alors que la jurisprudence, comme d’ailleurs les directives du Secrétariat d’Etat à l’économie (Bulletin LACI IC, chiffre B28), admettent que cette inscription est un indice important du fait que l’assuré continue à influencer la marche de l’entreprise de manière déterminante, mais que si l’instruction démontre qu’elle ne correspond plus à la réalité, il faut prendre en considération la perte de travail. Le recourant a établi par pièce avoir résilié son contrat de travail avec effet au 15 octobre 2021. Il a également établi avoir demandé à plusieurs reprises à son ancien employeur une copie de la radiation de sa signature au Registre du commerce (cf. courriels des 8 et 12 novembre, 6 et 30 décembre 2021). Par ailleurs, R.________ a attesté que le recourant n’avait jamais été actionnaire de la société, comme l’avait d’ailleurs déclaré le recourant lui-même dans sa demande d’indemnités de chômage, qu’il ne jouissait plus d’aucun pouvoir décisionnel depuis le 15 octobre 2021 et que le retard dans la demande de radiation de sa signature était due à un retard administratif interne à la société. Il a précisé que la radiation aurait dû être effective le 15 octobre 2021 et non le 12 janvier 2022. Aussi, le fait que la radiation du Registre du commerce soit intervenue bien plus tard découle d’un manquement de l’employeur qui ne peut être reproché au recourant. De plus, il ne saurait aussi lui être</w:t>
      </w:r>
    </w:p>
    <w:p>
      <w:r>
        <w:t>- 10 - reproché, contrairement à ce que sous-entend l’intimée, de ne pas avoir requis personnellement sa radiation directement auprès du Registre du commerce. En outre, il faut relever que le recourant ne disposait que d’une signature collective à deux de sorte qu’il ne lui était pas possible d’influer seul sur le processus de décision de l’entreprise. Enfin, l’argument de l’intimée selon lequel le recourant aurait accepté un rôle de représentation après sa démission n’est corroboré par aucune pièce du dossier et ne saurait être suivi. A l’aune des éléments précités, il faut admettre que l’inscription du recourant au Registre du commence ne correspondait plus à la réalité depuis le 15 octobre 2021 déjà, date de la fin de ses rapports de travail. Ainsi, lorsqu’il a sollicité les indemnités de chômage dès le 20 octobre 2021, le recourant n’occupait plus une position assimilable à celle d’un employeur. 6. a) Au vu de ce qui précède, le recours doit être admis et la décision entreprise annulée, le dossier étant renvoyé à l’intimée afin qu'elle examine si les autres conditions dont dépend le droit à l'indemnité de chômage sont réalisées. En effet, c’est à elle qu’il appartient au premier chef d’instruire, conformément au principe inquisitoire, selon l’art. 43 al. 1 LPGA (consid. 4a supra). b) Il n'y a pas lieu de percevoir de frais judiciaires, la procédure étant gratuite (art. 61 let. fbis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intégralement à la charge de l’intimée qui succombe.</w:t>
      </w:r>
    </w:p>
    <w:p>
      <w:r>
        <w:t>- 11 - Par ces motifs, la juge unique p r o n o n c e : I. Le recours est admis II. La décision sur opposition rendue le 12 mai 2022 par la Caisse cantonale de chômage, Division juridique, est annulée, la cause lui étant renvoyée pour instruction complémentaire dans le sens des considérants. III. Il n’est pas perçu de frais judiciaires. IV. La Caisse cantonale de chômage, Division juridique, versera à M.________ une indemnité de 2'000 fr. (deux mille francs) à titre de dépens. La juge unique : La greffière : Du L'arrêt qui précède est notifié à : - M. Julien Greub (pour M.________),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w:t>
      </w:r>
    </w:p>
    <w:p>
      <w:r>
        <w:t>- 12 -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