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ZQ22.022426 vom 8. August 2022</w:t>
      </w:r>
    </w:p>
    <w:p>
      <w:r>
        <w:t>VD Tribunal cantonal, 2022-08-08, FR</w:t>
      </w:r>
    </w:p>
    <w:p>
      <w:r>
        <w:rPr>
          <w:b/>
        </w:rPr>
        <w:t xml:space="preserve">Quelle: </w:t>
      </w:r>
      <w:r>
        <w:t>https://mcp.opencaselaw.ch/entscheid/vd_gerichte_ZQ22.022426</w:t>
      </w:r>
    </w:p>
    <w:p>
      <w:r>
        <w:t>FR: VD_GERICHTE ZQ22.022426 du 8 août 2022</w:t>
      </w:r>
    </w:p>
    <w:p>
      <w:r>
        <w:t>IT: VD_GERICHTE ZQ22.022426 del 8 agosto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l’indemnité de chômage dès le 8 mars 2022, plus particulièrement la question de savoir s’il occupe à compter de cette date une position assimilable à celle d’un employeur au sein de la société N.________ Sàrl.</w:t>
      </w:r>
    </w:p>
    <w:p>
      <w:r>
        <w:rPr>
          <w:b/>
        </w:rPr>
        <w:t>E. 3</w:t>
      </w:r>
    </w:p>
    <w:p>
      <w:r>
        <w:t>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w:t>
      </w:r>
    </w:p>
    <w:p>
      <w:r>
        <w:t>- 5 -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8C_587/2012 du 19 septembre 2012 consid. 3.2 ; également BORIS RUBIN, Commentaire de la loi sur l’assurance-chômage,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8C_34/2021 du 8 juillet 2021 consid. 3.3 ; 8C_811/2019 du 12 novembre 2020 consid. 3.1.3 ; 8C_433/2019 du 20</w:t>
      </w:r>
    </w:p>
    <w:p>
      <w:r>
        <w:t>- 6 -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 C 247/06 du 27 décembre 2007 consid. 2 ; C 157/06 du 22 janvier 2007 consid. 2 ; TFA C 17/06 du 1er mars 2007 consid. 3; C 353/05 du 4 octobre 2006 consid. 2 ; C 175/04 du 29 novembre 2005 consid. 3.2 ; DTA 2002 p. 185 consid. 2b et c [TFA C 373/00 du 19 mars 2002]).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voire,</w:t>
      </w:r>
    </w:p>
    <w:p>
      <w:r>
        <w:t>- 7 - selon les circonstances, pendant la durée de la procédure de liquidation (TF 8C_811/2019 précité consid. 3.1.2 ; 8C_511/2014 précité consid. 5.1 et les références).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précité consid. 3.1 et les références citées ; 8C_481/2010 du 15 février 2011 consid. 4.2 ; 8C_415/2008 du 23 janvier 2009 consid. 3.2), celui qui est titulaire d'une large part du capital social et dont le conjoint est inscrit au registre du commerce (TF C 180/06 du 16 avril 2007 consid.</w:t>
      </w:r>
    </w:p>
    <w:p>
      <w:r>
        <w:rPr>
          <w:b/>
        </w:rPr>
        <w:t>E. 3.2</w:t>
      </w:r>
    </w:p>
    <w:p>
      <w:r>
        <w:t>; C 72/06 du 16 avril 2007 consid. 7.3 ; TFA C 267/04 précité consid. 4.3).</w:t>
      </w:r>
    </w:p>
    <w:p>
      <w:r>
        <w:rPr>
          <w:b/>
        </w:rPr>
        <w:t>E. 3.4</w:t>
      </w:r>
    </w:p>
    <w:p>
      <w:r>
        <w:t>; voir également TFA C 373/00 précité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 ; 8C_481/2010 du 15 février 2011 consid.</w:t>
      </w:r>
    </w:p>
    <w:p>
      <w:r>
        <w:rPr>
          <w:b/>
        </w:rPr>
        <w:t>E. 4</w:t>
      </w:r>
    </w:p>
    <w:p>
      <w:r>
        <w:t>a) En l’espèce, on constate que le recourant est demeuré, depuis la date de son inscription auprès de l’ORP comme demandeur d’emploi (8 mars 2022) jusqu’à la date de la décision litigieuse, associé gérant de la société N.________ Sàrl. Du seul fait de l’inscription au Registre du commerce comme gérant, le recourant dispose d’un pouvoir déterminant au sens de l’art. 31 al. 3 let. c LACI et est exclu du droit à l’indemnité de chômage sans qu’il soit nécessaire de déterminer plus concrètement les responsabilités qu’il exerce au sein de la société (cf. consid. 3b supra), en tous les cas jusqu’au 18 mai 2022, date de dissolution de la société et de son entrée en liquidation.</w:t>
      </w:r>
    </w:p>
    <w:p>
      <w:r>
        <w:t>- 8 - b) Pour le surplus, et quand bien même cette question dépasse l’objet strict du litige, il convient de relever que, dans la mesure où le statut d’associé liquidateur succédant à celui de gérant d’une société à responsabilité limitée a pour effet de maintenir l’intéressé dans le cercle des personnes qui fixent les décisions de l’employeur ou les influencent de manière déterminante (cf. consid. 3c supra), le recourant n’a pas non plus droit à l’indemnité à compter du 18 mai 2022, et cela pendant toute la procédure de liquidation.</w:t>
      </w:r>
    </w:p>
    <w:p>
      <w:r>
        <w:rPr>
          <w:b/>
        </w:rPr>
        <w:t>E. 5</w:t>
      </w:r>
    </w:p>
    <w:p>
      <w:r>
        <w:t>a) En définitive, le recours, mal fondé, doit être rejeté, ce qui entraîne la confirmation de la décision sur opposition litigieuse. b) Il n’y a pas lieu de percevoir de frais judiciaires (art. 61 let. fbis LPGA), ni d’allouer de dépens au recourant, qui n’obtient pas gain de cause et a procédé sans mandataire qualifié (art. 61 let. g LPGA ; ATF 127 V 205 consid. 4b).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