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ZQ22.006085 vom 7. Juni 2022</w:t>
      </w:r>
    </w:p>
    <w:p>
      <w:r>
        <w:t>VD Tribunal cantonal, 2022-06-07, FR</w:t>
      </w:r>
    </w:p>
    <w:p>
      <w:r>
        <w:rPr>
          <w:b/>
        </w:rPr>
        <w:t xml:space="preserve">Quelle: </w:t>
      </w:r>
      <w:r>
        <w:t>https://mcp.opencaselaw.ch/entscheid/vd_gerichte_ZQ22.006085</w:t>
      </w:r>
    </w:p>
    <w:p>
      <w:r>
        <w:t>FR: VD_GERICHTE ZQ22.006085 du 7 juin 2022</w:t>
      </w:r>
    </w:p>
    <w:p>
      <w:r>
        <w:t>IT: VD_GERICHTE ZQ22.006085 del 7 giugno 2022</w:t>
      </w:r>
    </w:p>
    <w:p>
      <w:pPr>
        <w:pStyle w:val="Heading2"/>
      </w:pPr>
      <w:r>
        <w:t>Erwägungen</w:t>
      </w:r>
    </w:p>
    <w:p>
      <w:r>
        <w:rPr>
          <w:b/>
        </w:rPr>
        <w:t>E. 3</w:t>
      </w:r>
    </w:p>
    <w:p>
      <w:r>
        <w:t>; TF 8C_365/2016 du 3 mars 2017 consid. 3.2).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 9C_209/2012 du 26 juin 2012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La maladie peut être considérée comme un empêchement non fautif et, par conséquent, permettre la restitution d’un délai de recours, si</w:t>
      </w:r>
    </w:p>
    <w:p>
      <w:r>
        <w:t>- 7 - elle met la partie recourante ou son représentant légal objectivement ou subjectivement dans l’impossibilité d’agir par soi-même ou de charger une tierce personne d’agir en son nom dans le délai (ATF 119 lI 86 consid. 2 ; TF 9C_54/2017 du 2 juin 2017 consid. 2.2). Enfin, il doit exister un lien de causalité entre le motif invoqué à l’appui de la demande de restitution de délai et l’impossibilité de procéder à l’acte manqué ou de charger un tiers de l’accomplir (Boris Rubin, Commentaire de la loi sur l’assurance- chômage, Genève/Zurich/Bâle 2014, n. 36 ad art. 1 LACI).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4</w:t>
      </w:r>
    </w:p>
    <w:p>
      <w:r>
        <w:t>Il ressort de la décision litigieuse que le formulaire de recherches d’emploi d’octobre 2021 a été transmis le 25 novembre 2021 à l’ORP, soit bien après le délai prévu par l’art. 26 al. 2 OACI qui venait à échéance le 5 novembre 2021. La recourante ne conteste pas avoir fourni ses recherches d’emploi tardivement, mais soutient avoir été dans l’impossibilité de le faire en temps utile en raison de son état de santé. Les certificats médicaux produits à l’appui de ses allégations attestent uniquement d’une incapacité de travail du 3 au 14 novembre 2021, sans aucune précision sur les troubles à la santé présentés par la recourante. Ces documents ne suffisent pas à rendre vraisemblable que la recourante aurait été dans</w:t>
      </w:r>
    </w:p>
    <w:p>
      <w:r>
        <w:t>- 8 - l’incapacité de remettre le formulaire de ses recherches d’emploi du mois d’octobre 2021 dans le délai imparti à cet effet, ou de confier cette tâche à son mari ou à une autre tierce personne. Il en va de même du certificat médical du 25 janvier 2022 de la Dre N.________ produit au stade du recours, qui atteste simplement qu’elle n’était pas apte à faire des recherches de travail pour le chômage pendant les mois d’octobre et novembre 2021 en raison de maladie sans plus de précision. Par ailleurs, contrairement à ce qui est attesté dans ce document, la recourante a été en mesure d’effectuer des recherches d’emploi durant ces deux mois comme l’attestent les formulaires qu’elle a remis à l’ORP indiquant sept recherches d’emplois réalisées entre le 13 et le 25 octobre 2021 et douze recherches entre le 12 et le 29 novembre 2021. En conclusion, il ne ressort du dossier aucune circonstance qui permettrait de justifier la remise tardive des recherches d’emploi pour le mois d’octobre 2021, de sorte que l’intimé était fondé à prononcer une suspension du droit à l’indemnité de chômage.</w:t>
      </w:r>
    </w:p>
    <w:p>
      <w:r>
        <w:rPr>
          <w:b/>
        </w:rPr>
        <w:t>E. 5</w:t>
      </w:r>
    </w:p>
    <w:p>
      <w:r>
        <w:t>La suspension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Selon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w:t>
      </w:r>
    </w:p>
    <w:p>
      <w:r>
        <w:t>- 9 -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recherches d’emploi remises tardivement, le barème du SECO prévoit de retenir, s’agissant d’un premier manquement, une faute légère et une suspension du droit aux indemnités de chômage de un à neuf jours. S’agissant d’un second retard, le comportement de l’intéressé doit être considéré comme constitutif d’une faute légère ou moyenne avec une suspension comprise entre dix et dix-neuf jours. En cas de troisième manquement, le dossier est renvoyé à l'autorité cantonale pour décision (Bulletin LACI IC, D79, 1.E).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d) En l’espèce, l’intimé a pris en compte le fait que ce n’était pas le premier manquement de la recourante à son obligation de remettre les formules de recherches d’emploi dans le délai légal, mais a également</w:t>
      </w:r>
    </w:p>
    <w:p>
      <w:r>
        <w:t>- 10 - pris en considération l’incapacité de travail survenue en octobre 2021, qui réduisait son obligation de recherches d’emploi à dix-huit jours, pour retenir que la suspension pouvait être ramenée de dix à neuf jours. L’intimé a correctement tenu compte de l'ensemble des circonstances et la suspension prononcée, qui s’inscrit dans le cadre prévu par les art. 30 al. 3 LACI et 45 al. 3 OACI, respecte le principe de proportionnalité et n’apparaît pas critiquable. L’intimé n’a ainsi pas abusé de son pouvoir d’appréciation et la sanction prononcée doit être confirmée.</w:t>
      </w:r>
    </w:p>
    <w:p>
      <w:r>
        <w:rPr>
          <w:b/>
        </w:rPr>
        <w:t>E. 6</w:t>
      </w:r>
    </w:p>
    <w:p>
      <w:r>
        <w:t>a) En définitive, le recours doit être rejeté et la décision sur opposition attaquée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18 janvier 2022 par le Service de l’emploi, Instance juridique chômage, est confirmée. III. Il n’est pas perçu de frais judiciaires, ni alloué de dépens. La juge unique : La greffière :</w:t>
      </w:r>
    </w:p>
    <w:p>
      <w:r>
        <w:t>- 11 -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