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ZQ22.005227 vom 27. Juni 2023</w:t>
      </w:r>
    </w:p>
    <w:p>
      <w:r>
        <w:t>VD Tribunal cantonal, 2023-06-27, FR</w:t>
      </w:r>
    </w:p>
    <w:p>
      <w:r>
        <w:rPr>
          <w:b/>
        </w:rPr>
        <w:t xml:space="preserve">Quelle: </w:t>
      </w:r>
      <w:r>
        <w:t>https://mcp.opencaselaw.ch/entscheid/vd_gerichte_ZQ22.005227</w:t>
      </w:r>
    </w:p>
    <w:p>
      <w:r>
        <w:t>FR: VD_GERICHTE ZQ22.005227 du 27 juin 2023</w:t>
      </w:r>
    </w:p>
    <w:p>
      <w:r>
        <w:t>IT: VD_GERICHTE ZQ22.005227 del 27 giugno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30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l'indemnité en cas d’insolvabilité pour la période du 16 avril au 14 août 2020.</w:t>
      </w:r>
    </w:p>
    <w:p>
      <w:r>
        <w:rPr>
          <w:b/>
        </w:rPr>
        <w:t>E. 3</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La seule exception à ce principe concerne les membres des conseils d’administration d’une société anonyme, car ils disposent ex lege (art. 716 à 716b CO [loi fédérale du 30 mars 1911 complétant le Code civil suisse – livre cinquième : droit des obligations ; RS 220]) d’un pouvoir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w:t>
      </w:r>
    </w:p>
    <w:p>
      <w:r>
        <w:t>- 7 - exercent au sein de la société (ATF 145 V 200 consid. 4.2 ; 122 V 270 consid. 3 ; TF 8C_811/2019 du 12 novembre 2020 consid. 3.1.3 ; 8C_537/2019 du 22 octobre 2020 consid. 3.3.3 et 6.2) Selon l'art. 52 al. 1 LACI, l'indemnité en cas d'insolvabilité couvre les créances de salaire portant sur les quatre derniers mois au plus d'un même rapport de travail, jusqu'à concurrence, pour chaque mois, du montant maximum selon l'art. 3 al. 2 LACI. Les dispositions des art. 51ss LACI ont introduit une assurance perte de gain en cas d'insolvabilité d'un employeur, destinée à combler une lacune dans le système de protection sociale. Pour le législateur, le privilège conféré par la loi fédérale du 14 avril 1989 sur la poursuite pour dettes et la faillite aux créances de salaire (art. 219 LP ; RS 281.1)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ss. ; voir aussi Gabriel Aubert, L'employeur insolvable, in : Journée 1992 de droit du travail et de la sécurité sociale, Zurich 1994, p. 128 ss). Comme l'indemnité en cas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b) Par créance de salaire au sens de l'art. 52 al. 1 LACI, il faut en principe entendre le salaire déterminant selon l'art. 5 al. 2 LAVS (loi</w:t>
      </w:r>
    </w:p>
    <w:p>
      <w:r>
        <w:t>- 8 - fédérale du 20 décembre 1946 sur l'assurance-vieillesse et survivants ; RS 831.10), y compris les allocations dues. En tant que contrat synallagmatique, le contrat de travail oblige l'employé à fournir un travail et l'employeur à verser un salaire. Du point de vue du droit de l'assurance- chômage, la conséquence juridique est que la créance salariale est en principe liée à la prestation de travail. Certaines créances du travailleur ne peuvent donc pas être couvertes par l’indemnité en cas d’insolvabilité, qui ne couvre que des créances de salaire qui portent sur un travail réellement fourni (ATF 137 V 96 consid. 6.1 ; 132 V 82 consid. 3.1 ; 125 V 492 consid. 3b ; Boris Rubin, Commentaire de la loi sur l’assurance- chômage, Genève/Zurich/Bâle 2014, n° 6 et 7 ad art. 52 LACI). Cette jurisprudence se fonde sur le texte même de la loi et sur l'intention clairement exprimée du législateur (Message du Conseil fédéral précité, 613). La jurisprudence a assimilé a du travail fourni les cas dans lesquels le travailleur n'a pas pu fournir de travail uniquement en raison de la demeure de l'employeur d'accepter son travail au sens de l'art. 324 al. 1 CO. Dans une telle hypothèse, tant que le contrat de travail n'est pas résilié, l'employé a droit à son salaire, qui peut justifier, cas échéant, un droit à l'indemnité en cas d'insolvabilité (ATF 137 V 96 consid. 6.1; 132 V 82 consid. 3.1; 111 V 269).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4</w:t>
      </w:r>
    </w:p>
    <w:p>
      <w:r>
        <w:t>En l’occurrence, le contrat de travail n’avait pas encore pris effet au jour de sa résiliation, ni lors de la faillite de l’employeur. Il ressort des faits que les parties sont convenues de reporter la date d’entrée en</w:t>
      </w:r>
    </w:p>
    <w:p>
      <w:r>
        <w:t>- 9 - fonction, sans que le recourant n’allègue qu’il aurait été contraint de le faire ou que le contrat de travail apparent simulé se distinguerait d’un contrat occulte, par exemple pour ne pas verser de cotisations sociales. A ce propos, et en dépit du contexte, il faut rappeler que le recourant a déclaré à la Police lors de son audition que la société ne lui devait aucun salaire contractuel (page 7 de son audition). A cet égard, le contexte des déclarations précitées n’a guère d’influence, à tout le moins le recourant n’expose nullement en quoi ces déclarations auraient été dictées par le contexte particulier de la procédure pénale. Or il n’est pas possible d’écarter des faits pertinents uniquement parce qu’ils ne soutiennent pas sa cause dans le cadre de sa demande d’indemnité en cas d’insolvabilité. En l’absence d’un contrat de travail en cours et d’une créance salariale, le recourant ne saurait prétendre une indemnité en cas d’insolvabilité. Par ailleurs, il faut constater qu’au vu des versements pour l’acquisition de parts au capital-actions, le recourant était également actionnaire de la société et devait avoir à ce titre, ainsi qu’en tant que « futur » directeur général, une position dirigeante lui permettant à tout le moins de faire son avis, au sens de l’art. 51 al. 2 LACI. Certes, l’associé principal prévenu d’escroquerie a admis avoir présenté des documents faux au recourant (cf. PV d’audition par le Ministère public central du 14 juin 2021), en sorte qu’il n’était pas aisément possible pour ce dernier de constater le véritable état financier de la société, mais il ressort du courrier du 22 juin 2020 de N.________ à Y.________, intitulé « Démarrage des rapports de travail », que le report des rapports de travail a été convenu d’entente entre les parties et que c’est même le recourant qui aurait suggéré ce report. A tout le moins, la mention d’un assainissement de V.________SA était évoquée, devant faire naître des doutes chez Y.________ sur la santé financière de la société. Partant, en sa qualité d’actionnaire associé, il devait investiguer la question et accepter de travailler que contre rémunération s’il estimait être un employé. Or le courrier du 22 juin 2020 fait également mention que le recourant aurait</w:t>
      </w:r>
    </w:p>
    <w:p>
      <w:r>
        <w:t>- 10 - accepté de travailler à titre gracieux depuis fin avril 2020. Ceci laisse sérieusement à penser qu’il ne se considérait pas comme un salarié mais bien comme un associé ayant un pouvoir décisionnel – ou du moins un pouvoir d’influence – au sein de la société. Au demeurant, il est davantage vraisemblable – ce qui va d’ailleurs dans le sens de ses déclarations lors de son audition par la Police le 12 mars 2021 – que le recourant a fourni le travail allégué et dont l’existence n’est pas contestée (mails, séances hebdomadaires, recherche de nouveaux clients) en sa qualité d’actionnaire associé – ayant un intérêt au développement de la société – plutôt qu’en qualité de salarié. En effet, il ressort de l’audition précitée qu’il a participé aux séances hebdomadaires de comité de direction, ainsi qu’à une assemblée générale fin juin 2020, parce qu’il avait versé sa part au capital-actions (2% au total, soit 8'500 fr. fin mars et 80'000 fr. fin avril 2020). A cela s’ajoute que selon l’extrait de sa boîte de messagerie électronique professionnelle, outre des messages à contenu publicitaire, le recourant a reçu essentiellement des courriels de N.________, président du conseil d’administration, ainsi que d’autres actionnaires associés (MM.[...], [...], [...] et [...]) dont les sujets semblent concerner les comités de direction, les investisseurs et la stratégie d’entreprise. Quant à la pièce 8 produite par le recourant, attestant d’une collaboration entre l’assuré et une société de services informatiques ([...], société qui a configuré l’ordinateur portable du recourant, lequel lui avait été remis lors de la séance du comité de direction le 16 mars 2020), elle démontre certes un échange au sujet de la société V.________SA durant la période litigieuse, mais ne permet pas de qualifier la nature de la relation, c’est-à-dire si le recourant est intervenu au titre d’actionnaire associé ou de celui de directeur salarié. Il résulte ainsi des pièces au dossier, au degré de la vraisemblance prépondérante, que le recourant n’a pas déployé d’activité en qualité de travailleur salarié – au demeurant à 100 % (dans la procédure prud’hommale, il a indiqué travailler trois jours par semaine, à savoir à 60%) – mais bien dans le cadre de sa fonction d’actionnaire associé. Or, à ce titre, il n’a pas droit à l’indemnité en cas d’insolvabilité.</w:t>
      </w:r>
    </w:p>
    <w:p>
      <w:r>
        <w:t>- 11 - Compte tenu de l’ensemble des éléments qui précèdent, c’est à juste titre que l’intimée a nié au recourant le droit à une indemnité en cas d’insolvabilité, fondé sur l’art. 51 al. 2 LAVS.</w:t>
      </w:r>
    </w:p>
    <w:p>
      <w:r>
        <w:rPr>
          <w:b/>
        </w:rPr>
        <w:t>E. 5</w:t>
      </w:r>
    </w:p>
    <w:p>
      <w:r>
        <w:t>a) En définitive, le recours, mal fondé, doit être rejeté et la décision sur opposition déférée confirmée. b) Il n’y a pas lieu de percevoir de frais judiciaires (art. 61 let. fbis LPGA), ni d’allouer de dépens au recourant, qui n’obtient pas gain de cause (art. 61 let. g LPGA;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