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ZQ22.004070 vom 23. August 2022</w:t>
      </w:r>
    </w:p>
    <w:p>
      <w:r>
        <w:t>VD Tribunal cantonal, 2022-08-23, FR</w:t>
      </w:r>
    </w:p>
    <w:p>
      <w:r>
        <w:rPr>
          <w:b/>
        </w:rPr>
        <w:t xml:space="preserve">Quelle: </w:t>
      </w:r>
      <w:r>
        <w:t>https://mcp.opencaselaw.ch/entscheid/vd_gerichte_ZQ22.004070</w:t>
      </w:r>
    </w:p>
    <w:p>
      <w:r>
        <w:t>FR: VD_GERICHTE ZQ22.004070 du 23 août 2022</w:t>
      </w:r>
    </w:p>
    <w:p>
      <w:r>
        <w:t>IT: VD_GERICHTE ZQ22.004070 del 23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hivernales (cf.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indemnités de chômage dès le 3 août 2021, plus particulièrement sur le point de savoir si le recourant subit une perte d’emploi à prendre en considération.</w:t>
      </w:r>
    </w:p>
    <w:p>
      <w:r>
        <w:t>- 5 -</w:t>
      </w:r>
    </w:p>
    <w:p>
      <w:r>
        <w:rPr>
          <w:b/>
        </w:rPr>
        <w:t>E. 3</w:t>
      </w:r>
    </w:p>
    <w:p>
      <w:r>
        <w:t>a) L’assuré a droit à l’indemnité de chômage si, entre autres conditions, il a subi une perte de travail à prendre en considération (art. 8 al. 1 let. b LACI en relation avec l’art. 11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w:t>
      </w:r>
    </w:p>
    <w:p>
      <w:r>
        <w:t>- 6 -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et les références citées ; voir également Bulletin LACI IC, B17). d)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Lorsque le salarié est membre d’un conseil d’administration ou associé d’une société à responsabilité limitée,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w:t>
      </w:r>
    </w:p>
    <w:p>
      <w:r>
        <w:t>- 7 -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w:t>
      </w:r>
    </w:p>
    <w:p>
      <w:r>
        <w:rPr>
          <w:b/>
        </w:rPr>
        <w:t>E. 4</w:t>
      </w:r>
    </w:p>
    <w:p>
      <w:r>
        <w:t>En l’espèce, le recourant est associé-gérant unique de la société [...] Sàrl. A ce titre déjà, il ne saurait soutenir qu’il n’a plus d’influence sur les décisions de la société. Par ailleurs, aucune procédure de liquidation de la société n’a jamais été entreprise et l’intéressé figurait toujours au Registre du commerce, en qualité d’unique associé-gérant, au moment de la décision sur opposition litigieuse et même au moment du dépôt du recours. Le fait que la société ne dispose ni de mandats, ni de commande, ni de stock, ni de personnel n’est pas relevant, pas plus que le fait que le recourant ait été reconnu apte au placement. A cet égard, on renverra aux explications de l’intimée sous chiffre 4 de la décision sur opposition. En sa qualité d’unique associé-gérant avec signature individuelle de la société qui l’employait, le recourant occupe une position assimilable à celle d’un employeur (cf. consid. 3c supra). En l’absence de toute décision de liquidation de la société, respectivement de toute radiation de son inscription au registre du commerce, au moment de la décision sur opposition litigieuse, et dans la mesure où il est resté associé- gérant après son licenciement, on ne peut pas considérer qu’il a quitté définitivement cette entreprise, ni qu’il a rompu tout lien avec elle. C’est ainsi à juste titre que l’intimée a nié au recourant le droit à l’indemnité de chômage sans autre forme de vérification.</w:t>
      </w:r>
    </w:p>
    <w:p>
      <w:r>
        <w:rPr>
          <w:b/>
        </w:rPr>
        <w:t>E. 5</w:t>
      </w:r>
    </w:p>
    <w:p>
      <w:r>
        <w:t>a) En définitive, le recours doit être rejeté et la décision sur opposition attaquée confirmée. b) Il n’y a pas lieu de percevoir de frais judiciaires (art. 61 let. fbis LPGA), ni d’allouer de dépens au recourant, qui n’obtient pas gain de</w:t>
      </w:r>
    </w:p>
    <w:p>
      <w:r>
        <w:t>- 8 -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