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ZQ22.002962 vom 2. März 2023</w:t>
      </w:r>
    </w:p>
    <w:p>
      <w:r>
        <w:t>VD Tribunal cantonal, 2023-03-02, FR</w:t>
      </w:r>
    </w:p>
    <w:p>
      <w:r>
        <w:rPr>
          <w:b/>
        </w:rPr>
        <w:t xml:space="preserve">Quelle: </w:t>
      </w:r>
      <w:r>
        <w:t>https://mcp.opencaselaw.ch/entscheid/vd_gerichte_ZQ22.002962</w:t>
      </w:r>
    </w:p>
    <w:p>
      <w:r>
        <w:t>FR: VD_GERICHTE ZQ22.002962 du 2 mars 2023</w:t>
      </w:r>
    </w:p>
    <w:p>
      <w:r>
        <w:t>IT: VD_GERICHTE ZQ22.002962 del 2 marzo 2023</w:t>
      </w:r>
    </w:p>
    <w:p>
      <w:pPr>
        <w:pStyle w:val="Heading2"/>
      </w:pPr>
      <w:r>
        <w:t>Erwägungen</w:t>
      </w:r>
    </w:p>
    <w:p>
      <w:r>
        <w:rPr>
          <w:b/>
        </w:rPr>
        <w:t>E. 6</w:t>
      </w:r>
    </w:p>
    <w:p>
      <w:r>
        <w:t>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d'une insuffisance de sa part (ATF 129 II 361 consid. 7.1 et les références citées). La protection de la confiance dans les déclarations de l'administration est également ancrée à l'art. 9 Cst. (Boris Rubin, Assurance-chômage, 2ème édition, Zürich/Bâle/Genève, 2006, n° 12.4.2, p. 932). A certaines conditions, le citoyen peut ainsi exiger de l'autorité qu'elle se conforme aux promesses ou assurances qu'elle lui a faites et ne trompe pas la confiance qu'il a légitimement placée dans celle-ci (ATF 143 V 95 consid. 3.6.2 ; 129 II 361, consid. 7.1 et les références citées ; TF C 335/05 du 14 juillet 2006 consid. 2.2 ; TF K 149/05 du 3 mai 2006 consid. 6.1). b) Le droit au respect de la bonne foi comprend également l'interdiction des comportements contradictoires (Boris Rubin, op. cit., n° 12.4.1, p. 931). Selon ce principe, une autorité ne peut pas sans ménagement apprécier différemment des faits identiques visant une même personne. Les administrés doivent pouvoir faire confiance au comportement de l'autorité à leur égard (Boris Rubin, op. cit., n° 12.4.4.2,</w:t>
      </w:r>
    </w:p>
    <w:p>
      <w:r>
        <w:t>- 13 - p. 942). Le droit à la protection de la bonne foi peut donc également être invoqué en présence d'un comportement de l'administration susceptible d'éveiller chez l'administré une attente ou une espérance ou encore une tolérance légitime (ATF 129 II 361 consid. 7.1 et les références citées ; Boris Rubin, op. cit., n° 12.4.4.2, p. 942).</w:t>
      </w:r>
    </w:p>
    <w:p>
      <w:r>
        <w:rPr>
          <w:b/>
        </w:rPr>
        <w:t>E. 7</w:t>
      </w:r>
    </w:p>
    <w:p>
      <w:r>
        <w:t>En l’occurrence, la décision du 4 mai 2021 par laquelle de SDE a octroyé à la recourante l’indemnité en cas de RHT pour la période du 1er mars au 31 août 2021 était entrée en force lorsque l’intimé a rendu sa décision rectificative du 19 octobre 2021, confirmée sur opposition le 9 décembre 2021. Or ce n’est que lorsque la décision n’est pas formellement entrée en force de chose décidée, c’est-à-dire lorsque le délai de recours n’est pas encore échu au moment où l’administration révoque sa décision (ATF 129 V 110 consid. 1.2.1 et la référence), que l’administration est habilitée à revenir sans condition sur sa décision, les principes de la bonne foi et de la sécurité du droit n’ayant pas la même importance qu’après qu’elle soit entrée en force de chose décidée (ATF 134 V 257 consid. 2.2 ; voir également ATF 121 II 273 consid. 1a/aa ; Tobias Bolt, in Basler Kommentar, Allgemeiner Teil des Sozialversicherungsrechts [ATSG], Bâle 2020, n° 13 ad art. 52 al. 4 LPGA ; voir également Tobias Bolt, Zulässigkeit eines reinen Widerrufs pendente lite : rechtsmissbräuchliche Umgehung des Rückzugsrechts bei einer drohenden reformatio in peius, in Jahrbuch zum Sozialversicherungsrecht, Zurich 2019, pp. 231 ss). En dehors de l’éventualité, non réalisée ici, d’une décision pas formellement entrée en force de chose décidée, il appartient à l’assureur social de démontrer que les conditions de l’art. 53 al. 1 LPGA sont réalisées. Or l’intimé n’a pas fait cette démonstration. On peut certes se demander, avec la recourante, si l’intimé, qui ne s’est pas déterminé sur le grief tiré de l’absence de motif de</w:t>
      </w:r>
    </w:p>
    <w:p>
      <w:r>
        <w:t>- 14 - révision de la décision du 4 mai 2021 soulevé en recours, aurait pu considérer que la reprise progressive de l’économie à compter du 1er juin 2021 pouvait constituer un fait nouveau. Tel ne pourrait cependant être le cas, puisque les faits ou moyens de preuve postérieurs à la décision administrative sont en principe exclus (Margit Moser-Szeless, op. cit., n° 46 ad art. 53 LPGA). Il ressort plutôt des éléments du dossier que l’intimé a procédé à une nouvelle appréciation de la situation, sans que la recourante ait caché des informations, ou varié dans ses explications. On relèvera à toute fins utiles que la société a transmis son organigramme au SDE avec son premier préavis de RHT, en mars 2020. Il en ressort que ses « propriétaires et dirigeants » étaient A.________ et B.________ ; C.________ étant quant à elle « recruitment manager » et D.________ « recruteur ». B.________ n’a pas caché que C.________ était sa fille (cf. note juridique du 23 septembre 2020). Le caractère d’entreprise « familiale » de la recourante était donc connu de l’intimé lorsqu’il a rendu la décision du 4 mai 2021. Pour le surplus, l’intimé ne soutient pas que sa décision du 4 mai 2021 devait être reconsidérée, car elle reposait d’emblée sur une appréciation initiale erronée du droit. Les conditions auxquelles est soumise une reconsidération (cf. art. 53 al. 2 LPGA) font ainsi défaut. En définitive, il découle de ce qui précède que l’intimé a procédé à la révision d’office du cas de la recourante, en l’absence de faits nouveaux importants ou de nouveaux moyens de preuve qui ne pouvaient être produits auparavant l’autorisant à procéder à une révision de la décision rendue le 4 mai 2021 (cf. art. 53 al. 1 LPGA). Pour ces motifs, le recours doit être admis et la décision sur opposition du 9 décembre 2021 annulée, sans qu’il n’y ait lieu d’examiner les autres griefs soulevés par la recourante.</w:t>
      </w:r>
    </w:p>
    <w:p>
      <w:r>
        <w:rPr>
          <w:b/>
        </w:rPr>
        <w:t>E. 8</w:t>
      </w:r>
    </w:p>
    <w:p>
      <w:r>
        <w:t>a) Au vu de tout ce qui précède, le recours doit être admis et la décision sur opposition du 9 décembre 2021 rendue par le Service de l’emploi, Instance juridique chômage, annulée.</w:t>
      </w:r>
    </w:p>
    <w:p>
      <w:r>
        <w:t>- 15 - b) Il n’y a pas lieu de percevoir de frais judiciaires (art. 61 let. fbis LPGA). c) Vu le sort de ses conclusions, la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