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ZQ22.002524 vom 28. April 2022</w:t>
      </w:r>
    </w:p>
    <w:p>
      <w:r>
        <w:t>VD Tribunal cantonal, 2022-04-28, FR</w:t>
      </w:r>
    </w:p>
    <w:p>
      <w:r>
        <w:rPr>
          <w:b/>
        </w:rPr>
        <w:t xml:space="preserve">Quelle: </w:t>
      </w:r>
      <w:r>
        <w:t>https://mcp.opencaselaw.ch/entscheid/vd_gerichte_ZQ22.002524</w:t>
      </w:r>
    </w:p>
    <w:p>
      <w:r>
        <w:t>FR: VD_GERICHTE ZQ22.002524 du 28 avril 2022</w:t>
      </w:r>
    </w:p>
    <w:p>
      <w:r>
        <w:t>IT: VD_GERICHTE ZQ22.002524 del 28 aprile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bienfondé de la suspension du droit à l’indemnité du recourant pour une durée de deux jours à compter du 1er novembre 2021, motif pris qu’il aurait violé son obligation de renseigner.</w:t>
      </w:r>
    </w:p>
    <w:p>
      <w:r>
        <w:rPr>
          <w:b/>
        </w:rPr>
        <w:t>E. 3</w:t>
      </w:r>
    </w:p>
    <w:p>
      <w:r>
        <w:t>a) En droit des assurances sociales, les assurés sont tenus de collaborer à l’exécution des différentes lois et de fournir tous les renseignements nécessaires pour établir ou fixer leur droit à des prestations et faire valoir les prétentions récursoires (art. 28 al. 1 et 2 LPGA). Il leur appartient en particulier de communiquer à l’organe compétent toute modification importante des circonstances déterminantes pour l’octroi d’une prestation (art. 31 al. 1 LPGA).</w:t>
      </w:r>
    </w:p>
    <w:p>
      <w:r>
        <w:t>- 6 - De même, le droit à l'indemnité de chômage a pour corollaire un certain nombre de devoirs qui découlent de l'obligation générale des assurés de réduire le dommage (ATF 123 V 88 consid. 4c et les références). b) Selon l’art. 30 al. 1 let. e LACI, le droit de l’assuré à l’indemnité est suspendu lorsqu’il est établi que celui-ci a donné des indications fausses ou incomplètes ou a enfreint, de quelque autre manière, l’obligation de fournir des renseignements spontanément ou sur demande et d’aviser (ATF 130 V 385 consid. 3.1.2 ; TF 8C_253/2015 du 14 septembre 2015 consid. 3.1). Ces obligations recouvrent notamment les informations contenues au sein des documents que l’assuré doit fournir lorsqu’il fait valoir son droit à l’indemnité pour chaque période de contrôle, tels le formulaire « indications de la personne assurée » (IPA), les attestations de gain intermédiaire et toutes autres informations exigées par la caisse de chômage pour l’examen du droit à l’indemnité au sens de l’art. 29 al. 2 OACI. Le cas de suspension visé par cet article est réalisé dès l’instant où l’assuré n’a pas rempli la formule IPA de manière correcte, complète et conforme à la vérité. Ce cas de suspension englobe toute violation du devoir de l’assuré de donner des informations correctes et complètes de même que la communication de tous les éléments importants pour la fixation de l’indemnité. A cet égard, peu importe que ces renseignements inexacts ou incomplets soient ou non à l’origine d’un versement indu de prestations ou de leur calcul erroné. Contrairement à la situation envisagée à l’art. 30 al 1 let. f LACI, le critère subjectif de l’intention, soit le fait d’agir avec conscience et volonté, n’est pas une condition d’application de l’art. 30 al. 1 let. e LACI (TF 8C_457/2010 du 10 novembre 2010 consid. 4 et les références).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w:t>
      </w:r>
    </w:p>
    <w:p>
      <w:r>
        <w:t>- 7 - comportement fautif (ATF 133 V 89 consid. 6.2.2 ; TF 8C_316/2007 du 16 avril 2008 consid. 2.1.2). c) Selon l’art. 24 al. 1 LACI, est réputé intermédiaire tout gain que le chômeur retire d’une activité salariée ou indépendante durant une période de contrôle, l’assuré qui perçoit un gain intermédiaire ayant droit à la compensation de la perte de gain. Un revenu est réputé avoir été réalisé au moment où l’assuré a fourni la prestation de travail rémunératoire et non pas au moment de l’encaissement (ATF 122 V 367 consid. 5b ; TF 8C_318/2018 du 29 janvier 2019 consid. 5.2).</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w:t>
      </w:r>
    </w:p>
    <w:p>
      <w:r>
        <w:rPr>
          <w:b/>
        </w:rPr>
        <w:t>E. 5</w:t>
      </w:r>
    </w:p>
    <w:p>
      <w:r>
        <w:t>En l’espèce, il n’est pas litigieux que le recourant n’a pas annoncé, sur le formulaire « indications de la personne assurée » du mois d’octobre 2021, un gain intermédiaire que l’intimée a arrêté à 216 fr. 35 brut, réalisé en travaillant une journée pour T.________ SA pendant cette période de contrôle. Le recourant a en revanche annoncé spontanément ce gain après réception du bulletin de salaire établi par l’employeur le 5 novembre 2021. Il n’est pas davantage contesté qu’il n’y avait pas d’intention du recourant d’obtenir une prestation indue. Le recourant a simplement estimé que le gain intermédiaire pouvait être annoncé après réception du bulletin précité et de l’attestation de gain intermédiaire plutôt qu’immédiatement, lorsqu’il a fourni la prestation de travail.</w:t>
      </w:r>
    </w:p>
    <w:p>
      <w:r>
        <w:t>- 8 - L’assuré a indiqué avoir agi de la sorte sur conseil, sans préciser d’où avait émané cette recommandation. Cet élément n’a au demeurant fait l’objet d’aucune mesure d’instruction de la part de l’autorité intimée. Cependant, il apparaît que le recourant avait d’ores et déjà adopté le même comportement au cours de l’année 2019 et qu’il avait fait l’objet à l’époque d’une demande de restitution du trop-perçu, de sorte qu’il ne pouvait ignorer qu’un tel gain intermédiaire devait être annoncé durant le mois où il avait été accompli. Ainsi, en n’annonçant pas le gain intermédiaire sur le formulaire idoine, le recourant a commis une faute, en violation du devoir d’information lui incombant en tant que bénéficiaire d’indemnités de chômage. Dans ce contexte, le fait que sa faute n’ait pas généré de dommage particulier à l’assurance-chômage ne lui est d’aucun secours. Par conséquent, c’est à juste titre que l’intimée a prononcé une sanction, dont il reste à examiner la quotité.</w:t>
      </w:r>
    </w:p>
    <w:p>
      <w:r>
        <w:rPr>
          <w:b/>
        </w:rPr>
        <w:t>E. 6</w:t>
      </w:r>
    </w:p>
    <w:p>
      <w:r>
        <w:t>a) En vertu de l’art. 30 al. 3 LACI, la durée de la suspension est proportionnelle à la gravité de la faute et ne peut excéder soixante jours par motif de suspension. Conformément à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(ATF 133 V 593 consid. 6 et 123 V 150 consid. 3b). Le pouvoir d’examen du Tribunal cantonal s’étend partant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w:t>
      </w:r>
    </w:p>
    <w:p>
      <w:r>
        <w:t>- 9 - Le Secrétariat d’Etat à l’économie (SECO), en sa qualité d’autorité de surveillance, a adopté un barème (indicatif) à l’intention des organes d’exécution (Bulletin LACI IC, chiffre D 75).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Ainsi, en cas de transmission d’indications fausses ou incomplètes à la caisse de chômage au sens de l’art. 30 al. 1 let. e LACI, le barème indique que la faute peut être qualifiée de légère, de moyenne ou de grave en fonction de l’ensemble des circonstances (Bulletin LACI IC, chiffre D 75/3). b) En l’espèce, il convient de qualifier la faute commise par le recourant de légère, comme l’a admis à juste titre l’intimée. Cette qualification légitime le prononcé d’une sanction d’une durée de un à quinze jours à teneur de la loi. L’intimée a sanctionné le recourant d’une suspension de deux jours dans son droit à l’indemnité de chômage, sanction correspondant à une déduction de 288 fr. 50 au total compte tenu du montant de son indemnité journalière. Il s’agit d’une sanction disproportionnée pour une faute aussi légère que celle commise par le recourant, qui a bel et bien annoncé spontanément le gain intermédiaire, mais avec du retard, sans intention malicieuse, comme cela ressort d’ailleurs des circonstances retenues par l’intimée. Du reste, bien que cet élément ne soit pas déterminant en soi, l’on observe que le montant de la pénalité est même supérieur au gain intermédiaire brut retenu par l’intimée (216 fr. 35) et aux effets de celui-ci sur le droit aux prestations du recourant pour le mois d’octobre 2021</w:t>
      </w:r>
    </w:p>
    <w:p>
      <w:r>
        <w:t>- 10 - (143 fr. 15). Dans ce contexte, une suspension d’une durée d’une journée paraît suffisante.</w:t>
      </w:r>
    </w:p>
    <w:p>
      <w:r>
        <w:rPr>
          <w:b/>
        </w:rPr>
        <w:t>E. 7</w:t>
      </w:r>
    </w:p>
    <w:p>
      <w:r>
        <w:t>a) En conclusion, le recours doit être partiellement admis et la décision sur opposition du 20 janvier 2022 réformée, en ce sens que le droit à l’indemnité de chômage du recourant est suspendu pour une durée d’un jour dès le 1er novembre 2021. b) Il n’y a pas lieu de percevoir de frais judiciaires (art. 61 let. f bis LPGA), ni d’allouer de dépens, la partie recourante ayant procédé sans mandataire qualifié (ATF 127 V 205 consid. 4b). Par ces motifs, le juge unique p r o n o n c e : I. Le recours est partiellement admis. II. La décision sur opposition rendue le 20 janvier 2022 par la Caisse cantonale de chômage, Division juridique, est réformée en ce sens que W.________ est suspendu dans son droit à l’indemnité de chômage pour une durée d’un jour dès le 1er novembre 2021. III. Il n’est pas perçu de frais judiciaires, ni alloué de dépens. Le juge unique : La greffière : Du</w:t>
      </w:r>
    </w:p>
    <w:p>
      <w:r>
        <w:t>- 11 - L'arrêt qui précède est notifié à : - 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