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ZQ22.002010 vom 16. November 2022</w:t>
      </w:r>
    </w:p>
    <w:p>
      <w:r>
        <w:t>VD Tribunal cantonal, 2022-11-16, FR</w:t>
      </w:r>
    </w:p>
    <w:p>
      <w:r>
        <w:rPr>
          <w:b/>
        </w:rPr>
        <w:t xml:space="preserve">Quelle: </w:t>
      </w:r>
      <w:r>
        <w:t>https://mcp.opencaselaw.ch/entscheid/vd_gerichte_ZQ22.002010</w:t>
      </w:r>
    </w:p>
    <w:p>
      <w:r>
        <w:t>FR: VD_GERICHTE ZQ22.002010 du 16 novembre 2022</w:t>
      </w:r>
    </w:p>
    <w:p>
      <w:r>
        <w:t>IT: VD_GERICHTE ZQ22.002010 del 16 novembre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- 7 -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l’indemnité en cas de réduction de l’horaire de travail dès le 18 juillet 2021.</w:t>
      </w:r>
    </w:p>
    <w:p>
      <w:r>
        <w:rPr>
          <w:b/>
        </w:rPr>
        <w:t>E. 3</w:t>
      </w:r>
    </w:p>
    <w:p>
      <w:r>
        <w:t>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que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 refusant de procéder à une distinction claire entre ces deux facteurs, ceux-ci étant souvent juxtaposés, voire imbriqués l’un dans l’autre ; pour</w:t>
      </w:r>
    </w:p>
    <w:p>
      <w:r>
        <w:t>- 8 - le reste, il procède à une interprétation large du terme « ordre économique ». Font partie des facteurs conjoncturels notamment les baisses de commandes d’un produit ou d’un service que l’employeur vend habituellement (ATF 128 V 305 consid. 3a ; TF 8C_267/2012 du 28 septembre 2012).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 l'employeur doit assumer (art. 33 al. 1 let. a LACI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w:t>
      </w:r>
    </w:p>
    <w:p>
      <w:r>
        <w:t>- 9 - l'exploitation en cause (ATF 119 V 498 consid. 1 ; TFA C 283/01 du 8 octobre 2003 consid. 3 ; TFA C 192/02 du 19 décembre 2002 in SVR 2003 ALV n° 9 p. 27 ; TFA du 10 mars 1994 in DTA 1995 n° 20 p. 117 consid. 1b). d)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e) Une inadaptation structurelle peut déboucher sur des problèmes de compétitivité à long terme. La pérennité des entreprises structurellement faibles est compromise. Il n’appartient pas à l’assurance- 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w:t>
      </w:r>
    </w:p>
    <w:p>
      <w:r>
        <w:t>- 10 - détriment des entreprises plus fortes (Rubin, op. cit., n° 13 ad art. 33 LACI). En outre, une modification fondamentale et durable de la demande constitue un indice qui permet de réfuter la nature provisoire de la perte de travail (TFA C 218/94 du 29 décembre 1994 in DTA 1995 n° 19 p. 112).</w:t>
      </w:r>
    </w:p>
    <w:p>
      <w:r>
        <w:rPr>
          <w:b/>
        </w:rPr>
        <w:t>E. 4</w:t>
      </w:r>
    </w:p>
    <w:p>
      <w:r>
        <w:t>a) En l’occurrence, l’intimée fonde son refus d’accorder des indemnités en cas de réduction de l’horaire de travail à la recourante sur le fait, d’une part, qu’elle n’a pas rendu vraisemblable une perte de travail à hauteur de 50 à 70 % et, d’autre part, qu’elle n’a pas pris toutes les mesures nécessaires à diminuer le dommage. Le raisonnement suivi par l’intimée ne peut cependant pas être confirmé en l’état. b) En considérant qu’il n’était pas vraisemblable que la totalité des sept collaborateurs aient été touchés par une perte de travail à hauteur de 50 à 70 %, l’intimée se limite à exposer ses doutes quant à la situation économique décrite par la recourante dans sa demande de prestation. Elle reconnaît que l’entreprise est confrontée à une diminution de son chiffre d’affaires et que les concessionnaires automobiles sont touchés par des problèmes d’approvisionnement, mais estime que ces éléments ne rendent pas vraisemblable la perte de travail invoquée, d’autant moins au vu du nombre de partenariats conclus par la recourante durant les mois de juillet à septembre 2021, qui a presque doublé par rapport à l’année précédente. Ses doutes ne sont toutefois corroborés par aucun fait et moyen de preuve ressortant du dossier – faute d’instruction de la part de l’intimée –, de sorte que son appréciation ne repose sur aucun élément objectivement fondé. Le dossier ne contient en effet aucun renseignement sur la diminution du volume de travail causée par les problèmes d’approvisionnement, de sorte que, faute d’éléments de preuve, on ne saurait considérer que ces derniers, dont l’existence est admise, ne permettraient pas d’expliquer une perte de travail à hauteur de 50 à 70 %. Certes, la recourante a pu conclure des nouveaux mandats par rapport à l’année précédente mais, en l’absence de renseignements chiffrés, on ignore quelle quantité de travail a été apportée grâce à ces mandats.</w:t>
      </w:r>
    </w:p>
    <w:p>
      <w:r>
        <w:t>- 11 - c) Dans sa décision, l’intimée estime que l’on aurait raisonnablement pu attendre de la recourante, compte tenu de sa situation et de la conjoncture économique, qu’elle n’embauche pas de nouveaux collaborateurs car elle pouvait ou devait savoir que, ce faisant, elle ne pourrait pas leur assurer un travail en suffisance et qu’un recours aux indemnités en cas de réduction de l’horaire de travail s’avérerait inévitable. L’intimée reproche notamment à la recourante l’engagement d’un nouvel agent nettoyeur en date du 1er septembre 2021 alors qu’elle faisait déjà, selon elle, face à une perte de travail importante. Ce faisant, l’intimée ne procède pas à un examen juridique de la situation sous l’angle des conditions du droit à la prestation. Certes, l’employeur doit entreprendre tout ce qu’on peut raisonnablement exiger de lui pour éviter ou réduire les pertes de travail (ch. C3 du Bulletin LACI RHT du Secrétariat d’Etat à l’économie). Le refus de l'indemnité en raison du caractère évitable de la perte de travail doit toutefois se fonder sur des motifs suffisamment concrets et indiquer les mesures appropriées que l'employeur a omis de prendre, violant ainsi son obligation de diminuer le dommage (ATF 111 V 379 consid. 2a ; ch. C4 du Bulletin LACI RHT). Or, en l’occurrence, l’intimée ne démontre pas que la perte de travail aurait pu être évitée si la recourante avait renoncé à cet engagement. Au contraire, elle ne se prononce pas sur les explications données par la recourante pour justifier cet engagement, à savoir qu’il s’agissait d’une condition à la conclusion d’un contrat de mandat exclusif avec le groupe automobile I.________ et que la personne concernée était un collaborateur d’I.________ âgé de plus de 60 ans, qui se serait retrouvé au chômage en raison de la reprise de ses activités par la recourante. d) Cela étant, il n’y a pas lieu d’examiner plus en détail si le raisonnement tenu par l’intimée peut néanmoins être protégé, la décision devant être confirmée pour un autre motif. Il ressort du dossier produit par l’intimée que la recourante a bénéficié de l’indemnité en cas de réduction de l’horaire de travail quasi sans interruption du 17 mars 2020 à juillet 2021, soit sur une période de près de seize mois. Au moment de se prononcer sur le renouvellement du</w:t>
      </w:r>
    </w:p>
    <w:p>
      <w:r>
        <w:t>- 12 - droit à l’indemnité, il existait de sérieux indices permettant de renverser la présomption que la perte de travail serait vraisemblablement temporaire et que les emplois pourraient être maintenus. A l’appui de sa contestation, la recourante a notamment expliqué que le 80 % de son activité était en lien avec des concessionnaires automobiles, chez qui les livraisons de véhicules étaient fortement retardées en raison de la crise sanitaire et des fermetures d’usine en Asie ayant engendré une pénurie de semi- conducteurs, qui impactaient aussi bien les constructeurs automobiles que leurs équipementiers. Elle a notamment produit un article du 20 août 2021, publié sur le site Internet www.capital.fr (« Automobile : plusieurs usines à l’arrêt forcé à cause de la pénurie de semi-conducteurs »), lequel rapportait les propos du directeur général du groupe automobile Stellantis, Carlos Tavares, selon lesquels la crise des semi-conducteurs allait se prolonger en 2022. En d’autres termes, le secteur automobile était confronté, à la suite de la pandémie de Covid-19, à un problème structurel dont la résolution n’était guère prévisible au début de l’année 2022. Or le but des indemnités en cas de réduction de l’horaire de travail est de pallier une perte de travail vraisemblablement temporaire, en vue de maintenir les emplois (art. 31 al. 1 let. d LACI). Pour décider si les conditions de l'art. 31 al. 1 let. d LACI sont réalisées, on doit présumer qu'une perte de travail sera vraisemblablement temporaire et que les emplois pourront être maintenus, tant qu'il n'existe pas des faits concrets qui permettraient d'aboutir à une conclusion opposée (cf. consid. 3d supra). En l’occurrence, au moment de la demande de renouvellement du droit aux indemnités, il n’était plus possible de considérer que la perte de travail revêtait un caractère vraisemblablement temporaire. En effet, comme démontré ci-dessus, il était déjà prévisible à ce moment-là que la crise liée aux semi-conducteurs allait perdurer en 2022. Il est le lieu de préciser qu’il n’appartient pas à l’assurance-chômage de contribuer, par son intervention, à retarder une adaptation structurelle qui semble nécessaire, comme c’est le cas en l’espèce au regard des récentes mutations survenues dans le secteur de l’automobile.</w:t>
      </w:r>
    </w:p>
    <w:p>
      <w:r>
        <w:t>- 13 - e) C’est dès lors à bon droit que l’intimée a refusé d’accorder à la recourante le droit à l’indemnité en cas de réduction de l’horaire de travail pour la période postérieure au 18 juillet 2021.</w:t>
      </w:r>
    </w:p>
    <w:p>
      <w:r>
        <w:rPr>
          <w:b/>
        </w:rPr>
        <w:t>E. 5</w:t>
      </w:r>
    </w:p>
    <w:p>
      <w:r>
        <w:t>a) Le recours est par conséquent rejeté.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