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ZQ22.000575 vom 12. April 2022</w:t>
      </w:r>
    </w:p>
    <w:p>
      <w:r>
        <w:t>VD Tribunal cantonal, 2022-04-12, FR</w:t>
      </w:r>
    </w:p>
    <w:p>
      <w:r>
        <w:rPr>
          <w:b/>
        </w:rPr>
        <w:t xml:space="preserve">Quelle: </w:t>
      </w:r>
      <w:r>
        <w:t>https://mcp.opencaselaw.ch/entscheid/vd_gerichte_ZQ22.000575</w:t>
      </w:r>
    </w:p>
    <w:p>
      <w:r>
        <w:t>FR: VD_GERICHTE ZQ22.000575 du 12 avril 2022</w:t>
      </w:r>
    </w:p>
    <w:p>
      <w:r>
        <w:t>IT: VD_GERICHTE ZQ22.000575 del 12 aprile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obligatoire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w:t>
      </w:r>
    </w:p>
    <w:p>
      <w:r>
        <w:t>- 5 - obligatoire et l’indemnité en cas d’insolvabilité ; RS 837.02]),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les conditions de la remise de l’obligation de la recourante de restituer la somme de 1'067 fr. 30, correspondant aux prestations indûment perçues, singulièrement sur le point de savoir si la recourante remplit la condition de la bonne foi. Il n’y a en revanche pas lieu de revenir sur le bien-fondé des décisions de suspension ayant conduit à la demande de restitution des prestations, dès lors que ces décisions, rendues par l’ORP le 6 décembre 2019, sont entre-temps entrées en force.</w:t>
      </w:r>
    </w:p>
    <w:p>
      <w:r>
        <w:rPr>
          <w:b/>
        </w:rPr>
        <w:t>E. 3</w:t>
      </w:r>
    </w:p>
    <w:p>
      <w:r>
        <w:t>a) Selon l’art. 25 al. 1 LPGA, auquel renvoie l’art. 95 al. 1 LACI, les prestations indûment touchées doivent être restituées. A teneur de l’art. 4 OPGA (ordonnance sur la partie générale du droit des assurances sociales du 11 septembre 2002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BORIS RUBIN, Commentaire de la loi sur l’assurance-chômage, Genève/Zurich/Bâle 2014, n. 35 ad art. 95 LACI). b) Selon la jurisprudence, l’ignorance, par le bénéficiaire des prestations, du fait qu’il n’avait pas droit aux prestations ne suffit pas pour</w:t>
      </w:r>
    </w:p>
    <w:p>
      <w:r>
        <w:t>- 6 -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112 V 97 consid. 2c ; 110 V 176 consid. 3c). c) Il y a négligence grave quand un ayant droit ne se conforme pas à ce qui peut raisonnablement être exigé d’une personne capable de discernement dans une situation identique et dans les mêmes circonstances (ATF 110 V 176 précité consid. 3d ; TF 8C_510/2018 du 12 mars 2019 consid. 3).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 d) Dans les cas où la sanction doit être exécutée par le moyen d’une décision de restitution, la bonne foi est exclue lorsqu’au moment de la perception de l’indemnité de chômage, l’assuré sanctionné devait s’attendre à une suspension de son droit à l’indemnité de chômage en raison d’un comportement fautif. La bonne foi peut en revanche être reconnue lorsque le bénéficiaire des prestations indues pouvait avoir des raisons valables de penser qu’il n’avait rien à se reprocher (BORIS RUBIN, op. cit., n. 46 ad art. 95 LACI ; TF 8C_723/2017 du 8 août 2018 consid. 7 ; TF 8C_330/2013 du 2 septembre 2013 consid. 3 et 4 ; TF 8C_268/2009 du 13 novembre 2009 consid. 5.2.1).</w:t>
      </w:r>
    </w:p>
    <w:p>
      <w:r>
        <w:rPr>
          <w:b/>
        </w:rPr>
        <w:t>E. 4</w:t>
      </w:r>
    </w:p>
    <w:p>
      <w:r>
        <w:t>Dans le domaine des assurances sociales, le juge fonde sa décision, sauf dispositions contraires de la loi, sur les faits qui, faut d’être</w:t>
      </w:r>
    </w:p>
    <w:p>
      <w:r>
        <w:t>- 7 -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w:t>
      </w:r>
    </w:p>
    <w:p>
      <w:r>
        <w:rPr>
          <w:b/>
        </w:rPr>
        <w:t>E. 5</w:t>
      </w:r>
    </w:p>
    <w:p>
      <w:r>
        <w:t>a) En l’occurrence, l’intimé conteste que la condition de la bonne foi de la recourante soit remplie dès lors que l’assurée se savait fautive au regard d’une sanction pour refus de deux mesures relatives au marché du travail. De son côté la recourante invoque sa bonne foi, au motif qu’elle ne pouvait éprouver des doutes quant à la légitimité de son droit au moment du versement des indemnités journalières indues. b) La recourante peut être suivie, expliquant qu’il n’a pas été question pour elle de refuser les mesures, mais d’y renoncer en raison d’une situation personnelle et familiale difficile. Le conseiller ORP R.________ confirme que les mesures ont été proposées sur demande de l’assurée, pour l’aider, et non pas dans le cadre d’un contrôle strict. Les motifs familiaux et financiers de l’intéressée n’ont quant à eux pas fait l’objet d’une instruction particulière, mais sont rendus plausibles. c) Dans ce contexte, il n’y avait pas à imputer l’absence de bonne foi du fait d’une sanction, au demeurant admise au regard des circonstances. La négligence doit être qualifiée de légère et n’exclut pas la bonne foi de la recourante dans le contexte d’une demande de remise de l’obligation de restituer.</w:t>
      </w:r>
    </w:p>
    <w:p>
      <w:r>
        <w:t>- 8 -</w:t>
      </w:r>
    </w:p>
    <w:p>
      <w:r>
        <w:rPr>
          <w:b/>
        </w:rPr>
        <w:t>E. 6</w:t>
      </w:r>
    </w:p>
    <w:p>
      <w:r>
        <w:t>a) En conclusion, le recours, bien fondé, doit être admis et la décision sur opposition litigieuse annulée, en ce sens que la bonne foi de la recourante doit être constatée. Pour le surplus, il convient de renvoyer la cause à l’intimé, afin qu’il examine si les autres conditions de la remise de l’obligation de restituer – en particulier la situation financière de la recourante – sont remplies (cf. art. 25 al. 1 LPGA et 4 al. 1 OPGA), puis qu’il statue une nouvelle fois sur la demande de remise de la recourante. b) Il n’y a pas lieu de percevoir de frais judiciaires, la procédure étant gratuite (art. 61 let. a LPGA). c) Bien qu’obtenant gain de cause, la recourante a toutefois agi sans l’assistance d’un mandataire qualifié pour la défense de ses intérêts de sorte qu’elle n’a pas droit à l’allocation de dépens pour la procédure de recours. Par ces motifs, le juge unique p r o n o n c e : I. Le recours est admis. II. La décision sur opposition rendue le 26 novembre 2021 par le Service de l’emploi, Instance juridique chômage, est annulée, la cause lui étant renvoyée pour qu’il statue sur les autres conditions de la remise de l’obligation de restituer.</w:t>
      </w:r>
    </w:p>
    <w:p>
      <w:r>
        <w:t>- 9 - III. Il n’est pas perçu de frais judiciaires, ni alloué de dépens. Le juge unique : Le greffier : Du L'arrêt qui précède est notifié à : - A.__________, - Service de l’emploi, Instance juridique chômage, - Secrétariat d’Etat à l’économie (SECO),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