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ZQ22.000501 vom 11. März 2022</w:t>
      </w:r>
    </w:p>
    <w:p>
      <w:r>
        <w:t>VD Tribunal cantonal, 2022-03-11, FR</w:t>
      </w:r>
    </w:p>
    <w:p>
      <w:r>
        <w:rPr>
          <w:b/>
        </w:rPr>
        <w:t xml:space="preserve">Quelle: </w:t>
      </w:r>
      <w:r>
        <w:t>https://mcp.opencaselaw.ch/entscheid/vd_gerichte_ZQ22.000501</w:t>
      </w:r>
    </w:p>
    <w:p>
      <w:r>
        <w:t>FR: VD_GERICHTE ZQ22.000501 du 11 mars 2022</w:t>
      </w:r>
    </w:p>
    <w:p>
      <w:r>
        <w:t>IT: VD_GERICHTE ZQ22.000501 del 11 marzo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point de savoir si l’intimée était fondée à suspendre la recourante dans son droit à l’indemnité de chômage pendant vingt et un jours au motif que celle-ci avait résilié son contrat de travail sans respecter le délai de congé.</w:t>
      </w:r>
    </w:p>
    <w:p>
      <w:r>
        <w:rPr>
          <w:b/>
        </w:rPr>
        <w:t>E. 3</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Ainsi, l’art. 30 al. 1 let. a LACI sanctionne en particulier l’assuré qui est sans travail par sa propre faute, par la suspension de son droit à</w:t>
      </w:r>
    </w:p>
    <w:p>
      <w:r>
        <w:t>- 6 - l’indemnité de chômage (ATF 125 V 197 consid. 6a ; 124 V 225 consid. 2b ; 122 V 34 consid. 4c/aa). Il y a faute dès que la survenance du chômage ne relève pas de facteurs objectifs, mais réside dans un comportement que l’assuré pouvait éviter au vu des circonstances et des relations personnelles en cause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w:t>
      </w:r>
    </w:p>
    <w:p>
      <w:r>
        <w:t>- 7 -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Enfin, lorsque l'employeur doit prendre des mesures pour empêcher que le travailleur ne subisse une atteinte, celui-ci peut en exiger</w:t>
      </w:r>
    </w:p>
    <w:p>
      <w:r>
        <w:t>- 8 - l'exécution et mettre à cet effet l'employeur en demeure. Si l'employeur ne s'exécute pas, le travailleur peut refuser la prestation de travail sans que l'employeur soit libéré pour autant de l'obligation de verser le salaire ; dans un tel contexte, le travailleur ne peut se prévaloir d’un motif légitime de résilier immédiatement les rapports de travail et est dès lors, s’il agit néanmoins de la sorte, réputé sans travail par sa propre faute (TFA C 302/01 du 4 février 2003, consid. 3.3).</w:t>
      </w:r>
    </w:p>
    <w:p>
      <w:r>
        <w:rPr>
          <w:b/>
        </w:rPr>
        <w:t>E. 3.2</w:t>
      </w:r>
    </w:p>
    <w:p>
      <w:r>
        <w:t>in fine). Ainsi, les motifs de s'écarter de la faute grave doivent être admis restrictivement (Rubin, op. cit., n° 117 ad art. 30). Par ailleurs, le juge des assurances sociales ne peut, sans motif pertinent, substituer son appréciation à celle de l’administration ; il doit s’appuyer sur des circonstances de nature à faire apparaître sa propre appréciation comme</w:t>
      </w:r>
    </w:p>
    <w:p>
      <w:r>
        <w:t>- 11 - la mieux appropriée (ATF 137 V 71 consid. 5.2 ; 126 V 75 consid. 6 ; TF 9C_377/2009 du 20 janvier 2010 consid. 4.2). Le Secrétariat d’Etat à l’économie (SECO), en sa qualité d’autorité de surveillance, a adopté un barème (indicatif) à l’intention des organes d’exécution (Bulletin LACI IC, chiffre D 75).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résiliation du contrat de travail par l’assuré sans être assuré d’obtenir un nouvel emploi, le barème rappelle qu’il s’agit d’une faute grave (Bulletin LACI IC, chiffre D 75 /1.D) et recommande, pour la détermination de la faute individuelle et de la quotité de la suspension dans le domaine de la faute grave, de partir du milieu de la fourchette de trente et un à soixante jours, soit quarante-cinq jours, puis d’appliquer les facteurs aggravants ou atténuants ainsi que le principe de la proportionnalité (Bulletin LACI IC, chiffre D 77). Ce mode de calcul est repris de la jurisprudence du Tribunal fédéral (ATF 123 V 150 consid. 3c ; cf. Rubin, op. cit., n. 118 ad art. 30 LACI). Le même principe prévaut en cas de faute légère ou moyenne (Bulletin LACI IC, chiffre D 77), étant précisé que le Bulletin LACI IC, chiffre D 75 /1.A 2, prévoit une faute moyenne en cas d’acceptation d’un licenciement sans respect du délai de congé lorsque deux mois de prétentions de salaire sont perdues. b) En l’espèce, la recourante, par la signature de la convention de résiliation des rapports de travail, a renoncé à deux mois de salaire. L’intimée, qui a fondé sa décision sur cette circonstance, a qualifié la faute de moyenne et fixé la suspension à vingt et un jours.</w:t>
      </w:r>
    </w:p>
    <w:p>
      <w:r>
        <w:t>- 12 - Eu égard aux recommandations du SECO et à la jurisprudence dont elles sont tirées, la sanction fixée, se situant au milieu de la fourchette en cas de faute moyenne, ne peut être qualifiée de sévère. Par ailleurs, il n’existe pas d’élément permettant de fixer une sanction inférieure. En particulier, le cours suivi par la recourante et la reprise d’une activité professionnelle peu de temps après son inscription au chômage ne peuvent entrer en considération, la gravité de la faute devant être évaluée d’après les circonstances connues de l’assurée au moment où la faute a été commise. Aussi, il y a lieu de considérer que l’intimée n’a pas abusé de son pouvoir d’appréciation et que la sanction prononcée n’est pas disproportionnée.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En l’espèce, il est constant que la recourante a mis fin à son contrat de travail avant le terme de celui-ci, d’entente avec son employeuse et ce, sans avoir l’assurance préalable d’un nouvel emploi. Il s’agit donc d’examiner si elle peut se prévaloir de circonstances s’opposant à la poursuite de son travail et invalidant le prononcé d’une sanction administrative à son encontre. La recourante soutient avoir agi pour des motifs de santé. A l’appui de ses allégations, elle a produit une attestation de son médecin traitant, faisant état d’un syndrome anxio-dépressif lié à sa situation professionnelle, lequel a fondé un arrêt de travail de plus de deux mois, un traitement médicamenteux ainsi qu’un suivi psychothérapeutique. Néanmoins, cette attestation, peu motivée, ne contient ni diagnostic circonstancié ni détermination précise des activités ou fonctions contre- indiquées pour la recourante.</w:t>
      </w:r>
    </w:p>
    <w:p>
      <w:r>
        <w:t>- 9 - En dépit de ces circonstances médicales peu étayées, l’intimée admet que l’emploi de la recourante n’était plus convenable et, par extension, que la poursuite des rapports de travail n’était pas exigible pour des raisons de santé, mais nie la nécessité d’une résiliation sans respecter le délai de résiliation. A cet égard, on constate que l’attestation médicale précitée mentionne tout au plus que son autrice a appuyé la décision de la recourante de démissionner en raison d’un syndrome anxio- dépressif. Il n’est toutefois pas mentionné que la cessation des relations de travail devait intervenir sans délai. D’ailleurs, le 1er octobre 2021, la même praticienne a attesté d’une pleine capacité de travail de sa patiente ainsi que de sa bonne santé générale physique et psychique. En d’autres termes, les certificats médicaux sur lesquels l’assurée se fonde pour justifier la résiliation de son contrat de travail de manière anticipée ne sont pas circonstanciés et ne font donc pas référence à un état de santé menacé au point de devoir changer immédiatement d’environnement de travail. Ainsi, le dossier ne contient aucune attestation médicale de la situation concluant à l’impossibilité de poursuivre l’activité en cause, à tout le moins durant le délai de résiliation ordinaire. La recourante, qui ne prétend pas avoir sommé son employeuse de rétablir des conditions de travail convenables, ne donne en outre aucune explication sur l’urgence de la situation, étant de surcroît précisé qu’elle était en arrêt de travail lorsqu’elle a donné sa démission. Elle ne justifie pas la résiliation du contrat sans attendre d’avoir l’assurance d’un nouvel emploi pour des raisons médicales ou en lien avec sa situation familiale. A cet égard, un désaccord sur son taux d’activité, premier motif invoqué pour justifier la cessation des rapports de travail, ne constitue pas un juste motif de résiliation immédiate. Ainsi, même en admettant avec la recourante que des problèmes de santé l’empêchaient de continuer cette collaboration sur le long terme, aucun élément au dossier ne permet de retenir que la situation était si grave qu’il n’était pas exigible de celle-là qu’elle poursuive son activité jusqu’à l’assurance d’un autre emploi ou à tout le moins jusqu’à l’échéance du délai de résiliation ordinaire. Enfin, le fait que sa démission anticipée ait rendu possible</w:t>
      </w:r>
    </w:p>
    <w:p>
      <w:r>
        <w:t>- 10 - l’accomplissement immédiat de cours ayant permis de mettre ultérieurement un terme à son chômage n’est pas pertinent dès lors qu’il ne compense pas le dommage résultant de la renonciation à deux mois de salaire et que ce cours aurait pu être suivi après l’échéance du délai susmentionné. C’est dès lors à juste titre que l’intimée a prononcé une sanction à l’encontre de la recourante.</w:t>
      </w:r>
    </w:p>
    <w:p>
      <w:r>
        <w:rPr>
          <w:b/>
        </w:rPr>
        <w:t>E. 6</w:t>
      </w:r>
    </w:p>
    <w:p>
      <w:r>
        <w:t>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let. a OACI, il y a faute grave lorsque, sans motif valable, l’assuré abandonne un emploi réputé convenable sans être assuré d’obtenir un nouvel emploi. Par motif valable au sens de cette disposition, il faut entendre un motif qui fait apparaître la faute comme étant de gravité moyenne ou légère. Il peut s’agir, dans un cas concret, d’un motif lié à la situation subjective de la personne concernée ou à des circonstances objectives (ATF 130 V 125 consid. 3.3.3 ; TF 8C_650/2017 du 25 juin 2018 consid. 7.1 ; TF 8C_950/2008 consid. 2). Toutefois, l'admission de fautes moyennes ou légères doit rester l'exception (TFA C 161/06 du 6 décembre 2006 consid.</w:t>
      </w:r>
    </w:p>
    <w:p>
      <w:r>
        <w:rPr>
          <w:b/>
        </w:rPr>
        <w:t>E. 7</w:t>
      </w:r>
    </w:p>
    <w:p>
      <w:r>
        <w:t>a) En conclusion, le recours doit être rejeté et la décision sur opposition entreprise confirmée.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31 décembre 2021 par la Caisse cantonale de chômage, Division juridique, est confirmée. III. Il n’est pas perçu de frais judiciaires, ni alloué de dépens. La juge unique : La greffière :</w:t>
      </w:r>
    </w:p>
    <w:p>
      <w:r>
        <w:t>- 13 - Du L'arrêt qui précède est notifié à : -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