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ZQ21.037073 vom 3. November 2021</w:t>
      </w:r>
    </w:p>
    <w:p>
      <w:r>
        <w:t>VD Tribunal cantonal, 2021-11-03, FR</w:t>
      </w:r>
    </w:p>
    <w:p>
      <w:r>
        <w:rPr>
          <w:b/>
        </w:rPr>
        <w:t xml:space="preserve">Quelle: </w:t>
      </w:r>
      <w:r>
        <w:t>https://mcp.opencaselaw.ch/entscheid/vd_gerichte_ZQ21.037073</w:t>
      </w:r>
    </w:p>
    <w:p>
      <w:r>
        <w:t>FR: VD_GERICHTE ZQ21.037073 du 3 novembre 2021</w:t>
      </w:r>
    </w:p>
    <w:p>
      <w:r>
        <w:t>IT: VD_GERICHTE ZQ21.037073 del 3 novembre 2021</w:t>
      </w:r>
    </w:p>
    <w:p>
      <w:pPr>
        <w:pStyle w:val="Heading2"/>
      </w:pPr>
      <w:r>
        <w:t>Erwägungen</w:t>
      </w:r>
    </w:p>
    <w:p>
      <w:r>
        <w:rPr>
          <w:b/>
        </w:rPr>
        <w:t>E. 1</w:t>
      </w:r>
    </w:p>
    <w:p>
      <w:r>
        <w:t>a) Sous réserve de dérogation expresse, les dispositions de la LPGA (loi fédérale du 6 octobre 2000 sur la partie générale du droit des assurances sociales ; RS 830.1) s'appliquent à l'assurance-chômage obligatoire et à l'indemnité en cas d'insolvabilité (art. 1 al. 1 LACI [loi</w:t>
      </w:r>
    </w:p>
    <w:p>
      <w:r>
        <w:t>- 4 -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173.361) et respecte pour le surplus les formalités prévues par la loi (cf. art. 61 let. b LPGA), de sorte qu'il est recevable.</w:t>
      </w:r>
    </w:p>
    <w:p>
      <w:r>
        <w:rPr>
          <w:b/>
        </w:rPr>
        <w:t>E. 2</w:t>
      </w:r>
    </w:p>
    <w:p>
      <w:r>
        <w:t>Est litigieuse la question de savoir si la recourante peut prétendre à l'indemnité en cas de réduction de l'horaire de travail à compter du 1er décembre 2020.</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w:t>
      </w:r>
    </w:p>
    <w:p>
      <w:r>
        <w:t>- 5 - c) Le délai de préavis est un délai de péremption. Si l'employeur ne remet pas son préavis dans le délai réglementaire, la perte de travail n'est prise en considération qu'à partir de l'expiration de ce délai (cf. art. 58 al. 4 OACI [ordonnance du 31 août 1983 sur l'assurance- chômage obligatoire et l'indemnité en cas d'insolvabilité] ; RS 837.02 ; ATF 110 V 334).</w:t>
      </w:r>
    </w:p>
    <w:p>
      <w:r>
        <w:rPr>
          <w:b/>
        </w:rPr>
        <w:t>E. 4</w:t>
      </w:r>
    </w:p>
    <w:p>
      <w:r>
        <w:t>a) Conformément à l'art. 17b al. 1 de la Loi COVID-19 (loi fédérale du 25 septembre 2020 sur les bases légales des ordonnances du Conseil fédéral visant à surmonter l'épidémie de COVID-19 ; RS 818.102) en vigueur du 1er septembre 2020 au 31 décembre 2021 (RO 2021 153 ; FF 2021 285), aucun délai de préavis ne doit, en dérogation à l'art. 36 al. 1 LACI, être observé pour la réduction de l'horaire de travail. Le préavis doit être renouvelé lorsque la réduction de l'horaire de travail dure plus de six mois. b) Selon l'art. 17b al. 2 de la Loi COVID-19, le début de la réduction de l'horaire de travail, pour les entreprises concernées par une réduction de l'horaire de travail en raison des mesures ordonnées par les autorités depuis le 18 décembre 2020, est autorisé, à leur demande, avec effet rétroactif à la date de l'entrée en vigueur de la mesure correspondante, en dérogation à l'art. 36 al. 1 LACI.</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w:t>
      </w:r>
    </w:p>
    <w:p>
      <w:r>
        <w:t>- 6 -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Le fardeau de la preuve de l'accomplissement d'un acte de procédure incombe à la partie qui entend en tirer un droit. La partie supporte les conséquences de l'absence de preuve en ce sens que si l'envoi d'un acte ou sa date sont contestées et qu'il existe effectivement un doute à ce sujet, il y a lieu de se fonder sur les déclarations du destinataire de l'envoi dont la bonne foi est présumée (TF 2C_523/2019 du 12 novembre 2019 consid. 4.3). La preuve de la notification peut toutefois résulter d'indices ou de l'ensemble des circonstances, par exemple d'un échange de correspondance ultérieur ou du comportement du destinataire (ATF 142 IV 125 consid. 4.3 ; TF 1C_313/2020 du 31 août 2020 consid. 3). d) Conformément à la jurisprudence relative à l'art. 29 al. 3 LPGA, la date déterminante quant à l'observation des délais et aux effets juridiques d'une demande est celle à laquelle la requête a été remise à la poste ou déposée auprès de cet organe (TF 9C_57312017 du 23 janvier 2018 consid. 5).</w:t>
      </w:r>
    </w:p>
    <w:p>
      <w:r>
        <w:rPr>
          <w:b/>
        </w:rPr>
        <w:t>E. 6</w:t>
      </w:r>
    </w:p>
    <w:p>
      <w:r>
        <w:t>a) En l'espèce, force est de constater que la recourante n'a pas été en mesure d'établir avoir déposé une demande d'indemnisation en cas de réduction de l'horaire de travail au cours du mois de novembre 2020. En particulier, on peut observer que la recourante n'a pas pu fournir</w:t>
      </w:r>
    </w:p>
    <w:p>
      <w:r>
        <w:t>- 7 - une copie du formulaire – obligatoirement généré par le système informatique – qu'elle allègue avoir complété à cette période. Ainsi que le soutient l'intimé dans sa réponse du 4 octobre 2021, la capture d'écran de l'historique de navigation internet de l'ordinateur privé de son ancien collaborateur permet tout au plus de conclure que ce dernier a consulté les pages internet du site de l'Etat de Vaud dédiée à la problématique des indemnités en cas de réduction de l'horaire de travail en date du 9 novembre 2020. Ce constat ne permet pas de déduire, au degré de la vraisemblance prépondérante, le dépôt effectif d'une demande d'indemnisation à cette date. Au surplus, les arguments de la recourante en lien avec la maladie et la quarantaine subie par son associé gérant en décembre 2020, respectivement janvier 2021, sont sans pertinence dans ce contexte. b) On ajoutera que la recourante ne peut se prévaloir de la règle contenue à l'art. 17b al. 2 de la Loi COVID-19, laquelle prévoit l'octroi à titre rétroactif des indemnités en cas de réduction de l'horaire de travail, dès lors qu'elle est active dans le domaine de l'identité numérique, soit dans une branche qui n'a pas été concernée par les mesures ordonnées par les autorités à compter du 18 décembre 2020. c) Sur le vu de ce qui précède, l'intimé était fondé à retenir, sur la base de l'art. 17b al. 1 de la Loi COVID-19, que la recourante avait déposé son préavis le 22 janvier 2021 et à lui octroyer des indemnités en cas de réduction de l'horaire de travail à partir de cette date.</w:t>
      </w:r>
    </w:p>
    <w:p>
      <w:r>
        <w:rPr>
          <w:b/>
        </w:rPr>
        <w:t>E. 7</w:t>
      </w:r>
    </w:p>
    <w:p>
      <w:r>
        <w:t>a) En définitive, le recours, mal fondé, doit être rejeté et la décision sur opposition litigieuse confirmée. b) Il n'y a pas lieu de percevoir de frais judiciaires, la loi spéciale ne le prévoyant pas (art. 61 let. fbis LPGA), ni d'allouer de dépens, dès lors que la recourante n'obtient pas gain de cause (art. 61 let. g LPGA et 55 al. 1 LPA-VD).</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