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ZQ21.034503 vom 22. April 2022</w:t>
      </w:r>
    </w:p>
    <w:p>
      <w:r>
        <w:t>VD Tribunal cantonal, 2022-04-22, FR</w:t>
      </w:r>
    </w:p>
    <w:p>
      <w:r>
        <w:rPr>
          <w:b/>
        </w:rPr>
        <w:t xml:space="preserve">Quelle: </w:t>
      </w:r>
      <w:r>
        <w:t>https://mcp.opencaselaw.ch/entscheid/vd_gerichte_ZQ21.034503</w:t>
      </w:r>
    </w:p>
    <w:p>
      <w:r>
        <w:t>FR: VD_GERICHTE ZQ21.034503 du 22 avril 2022</w:t>
      </w:r>
    </w:p>
    <w:p>
      <w:r>
        <w:t>IT: VD_GERICHTE ZQ21.034503 del 22 aprile 2022</w:t>
      </w:r>
    </w:p>
    <w:p>
      <w:pPr>
        <w:pStyle w:val="Heading2"/>
      </w:pPr>
      <w:r>
        <w:t>Erwägungen</w:t>
      </w:r>
    </w:p>
    <w:p>
      <w:r>
        <w:rPr>
          <w:b/>
        </w:rPr>
        <w:t>E. 2</w:t>
      </w:r>
    </w:p>
    <w:p>
      <w:r>
        <w:t>Le litige porte sur le droit du recourant à des indemnités journalières de l’assurance-chômage dès le 2 septembre 2020, plus particulièrement sur la question de savoir s’il occupe une position analogue à celle d’un employeur au sein de la société S.________ GmbH.</w:t>
      </w:r>
    </w:p>
    <w:p>
      <w:r>
        <w:rPr>
          <w:b/>
        </w:rPr>
        <w:t>E. 3</w:t>
      </w:r>
    </w:p>
    <w:p>
      <w:r>
        <w:t>a) Dans un moyen qu’il convient d’examiner en premier lieu, le recourant se prévaut du droit à l’indemnité au motif de la reconnaissance de son aptitude au placement (cf. décision du 22 décembre 2020). Celle-ci comprend deux composantes intrinsèques à la personne de l’assuré (ATF 143 V 168 consid. 2 ; 136 V 95 consid. 5.1 et les références citées ; TF 8C_282/2018 du 14 novembre 2018 consid. 4.1 et les références citées), soit la faculté d’exercer une activité lucrative salariée sans que l’assuré en soit empêché pour des causes inhérentes à sa personne, et la disposition à accepter un travail convenable. b) En l’occurrence, le Service de l’emploi a rendu le 22 décembre 2020 une décision d’aptitude au placement ce alors que par courrier du 2 décembre 2020, l’intimée avait expressément sollicité l’examen de l’aptitude au placement sous l’angle de l’inscription du recourant au registre du commerce. C’est donc en toute connaissance de l’existence d’une position assimilable à celle d’un employeur que le Service de l’emploi a admis l’aptitude au placement du recourant. Il a ainsi reconnu que le recourant offrait à un employeur toute la disponibilité normalement exigible, partant que la poursuite ou la reprise de son activité auprès de la société n’était pas envisageable. La question de savoir si l’intimée était ainsi légitimée à examiner la question d’une</w:t>
      </w:r>
    </w:p>
    <w:p>
      <w:r>
        <w:t>- 11 - situation assimilable à celle d’un employeur peut rester ouverte pour les raisons qui suivent.</w:t>
      </w:r>
    </w:p>
    <w:p>
      <w:r>
        <w:rPr>
          <w:b/>
        </w:rPr>
        <w:t>E. 3.2</w:t>
      </w:r>
    </w:p>
    <w:p>
      <w:r>
        <w:t>et les références citées). Toutefois, la jurisprudence exclut de considérer qu'un assuré a définitivement quitté son ancienne entreprise en raison de la fermeture de celle-ci tant qu'elle n'est pas entrée en</w:t>
      </w:r>
    </w:p>
    <w:p>
      <w:r>
        <w:t>- 12 - liquidation – les règles particulières visant les liquidateurs étant réservées (voir entre autres TF 8C_738/2015 du 14 septembre 2016 consid. 3.1 et 8C_1016/2012 du 19 août 2013 consid. 4.3, avec les références citées).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[loi fédérale du 30 mars 1911 complétant le Code civil suisse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et 4.5 ; TF 8C_171/2012 du 11 avril 2013 consid. 6.1 et les références). Ainsi,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précité consid. 4.3 avec les références citées).</w:t>
      </w:r>
    </w:p>
    <w:p>
      <w:r>
        <w:t>- 13 - c)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w:t>
      </w:r>
    </w:p>
    <w:p>
      <w:r>
        <w:rPr>
          <w:b/>
        </w:rPr>
        <w:t>E. 4</w:t>
      </w:r>
    </w:p>
    <w:p>
      <w:r>
        <w:t>a)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8C_448/2018 du 30 septembre 2019 consid. 3 ; TF 8C_511/2014 du 19 août 2015 consid. 5.1).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consid. 7b/bb ; TF 8C_511/2014 précité consid.</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6</w:t>
      </w:r>
    </w:p>
    <w:p>
      <w:r>
        <w:t>Dans le cas particulier, l’intimée a dénié le droit du recourant à l’indemnité de chômage, au motif que celui-ci occupait une fonction assimilable à celle d’un employeur au sein de la société S.________ GmbH. L’assuré, pour sa part, a contesté cette appréciation en faisant valoir que la société était inactive depuis le 31 août 2020 et que les difficultés rencontrées dans le processus de liquidation étaient imputables au conflit l’opposant à F.________ AG. a) Si le recourant n’était plus salarié de la société S.________ GmbH à la date de son inscription à l’assurance-chômage le 2 septembre</w:t>
      </w:r>
    </w:p>
    <w:p>
      <w:r>
        <w:t>- 14 - 2020, force est de constater que la liquidation de cette société n’avait toujours pas été décidée par l’assemblée des associés à cette date tout comme actuellement d’ailleurs faute d’inscription dans ce sens au registre du commerce du canton de Lucerne (consulté en ligne le 20 avril 2022) ; du 2 septembre 2020 jusqu’à la décision litigieuse rendue le 14 juin 2021, le recourant avait la qualité d’associé gérant avec droit de signature individuelle de la société S.________ GmbH et son inscription comme tel au registre du commerce perdure, du reste, à ce jour (Registre du commerce du canton de Lucerne consulté en ligne le 20 avril 2022). L’entrée en liquidation de la société S.________ GmbH par décision de l’assemblée des associés a cependant été bloquée par le litige entre le recourant et F.________ AG, laquelle détient une part de 5'000 fr. avec droit de votre privilégié (cf. art. 3 des statuts de la société S.________ GmbH), donc un droit de vote égal à celui du recourant titulaire d’une part à 45'000 francs. Aucun élément au dossier ne permet au demeurant de soutenir que F.________ AG exige une liquidation suivie d’une dissolution (cf. courriel de F.________ AG au recourant du 26 novembre 2020) et que le recourant serait définitivement, que ce soit contractuellement, statutairement ou légalement, empêché de poursuivre l’activité de la société S.________ GmbH. b) Le seul pouvoir décisionnel du recourant dans la société ne permet cependant pas dans le cas d’espèce de considérer qu’il existe un risque de contournement de la loi, en particulier de reprise des activités de l’entreprise, partant de réengagement. C’est le lieu de rappeler que la société S.________ GmbH était liée à F.________ AG par un contrat de franchise. Ce contrat n’a pas été renouvelé et la franchise a pris fin le 31 août 2020. Par ailleurs, l’exploitation du shop F.________ à I.________ a été poursuivie dès le 1er septembre 2020 par la société W.________ GmbH, dans laquelle le recourant n’a aucun pouvoir décisionnel. Cette société a également repris les contrats de travail des salariés de la société S.________ GmbH, à l’exception de celui du recourant. Ainsi, la société S.________ GmbH ne</w:t>
      </w:r>
    </w:p>
    <w:p>
      <w:r>
        <w:t>- 15 - pouvait plus poursuivre son activité principale, savoir l’exploitation du shop F.________ d’I.________ ou de tout autre shop F.________, comme indiqué par F.________ AG dans son courrier du 1er février 2021. Partant, le recourant n’était plus en mesure de décider de son réengagement dans ce commerce, ni la société de conclure un nouveau contrat de franchise autorisant la continuation de son activité principale. Certes, selon ses statuts, la société S.________ GmbH peut exercer nombre d’activités dans d’autres domaines, avec pour corollaire que sa réactivation est tout aussi concevable qu’une liquidation. Toutefois, le conflit opposant le recourant à F.________ AG, en particulier le droit de vote privilégié de cette dernière et son exigence de reprise de sa part sociale à sa valeur nominale conditionnant la poursuite d’une activité dans un autre secteur, restreint fortement la marge de manœuvre de l’intéressé. S’il a certes exprimé l’intention de reprendre les parts de F.________ AG dans la société et de conserver celle-ci, le recourant n’avait toujours pas concrétisé son projet à la date de la décision litigieuse. L’intimée ne pouvait dès lors considérer comme vraisemblable la poursuite d’une activité dans un autre secteur. Au demeurant, compte tenu des circonstances particulières du cas d’espèce, elle pouvait anticiper l’éventuelle finalisation du projet du recourant en lui rappelant son obligation d’aviser en cas de modification des circonstances (art. 31 LPGA), savoir en cas de rachat des parts de F.________ AG. c) Au regard des circonstances du cas d'espèce, un risque de contournement de la clause d'exclusion de l'art. 31 al. 3 let. c LACI et de la jurisprudence y relative peut être écarté. Le recourant peut donc prétendre à l’indemnité de chômage dès le dépôt de sa demande de prestations le 2 septembre 2020, la réalisation des autres conditions légales exigées en la matière étant réservée.</w:t>
      </w:r>
    </w:p>
    <w:p>
      <w:r>
        <w:rPr>
          <w:b/>
        </w:rPr>
        <w:t>E. 7</w:t>
      </w:r>
    </w:p>
    <w:p>
      <w:r>
        <w:t>a) Au vu de ce qui précède, le recours doit être admis et la décision entreprise annulée, le dossier étant renvoyé à l’intimée afin qu'elle examine si les autres conditions dont dépend le droit à l'indemnité de chômage sont réalisées.</w:t>
      </w:r>
    </w:p>
    <w:p>
      <w:r>
        <w:t>- 16 -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