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ZQ21.028228 vom 24. Januar 2022</w:t>
      </w:r>
    </w:p>
    <w:p>
      <w:r>
        <w:t>VD Tribunal cantonal, 2022-01-24, FR</w:t>
      </w:r>
    </w:p>
    <w:p>
      <w:r>
        <w:rPr>
          <w:b/>
        </w:rPr>
        <w:t xml:space="preserve">Quelle: </w:t>
      </w:r>
      <w:r>
        <w:t>https://mcp.opencaselaw.ch/entscheid/vd_gerichte_ZQ21.028228</w:t>
      </w:r>
    </w:p>
    <w:p>
      <w:r>
        <w:t>FR: VD_GERICHTE ZQ21.028228 du 24 janvier 2022</w:t>
      </w:r>
    </w:p>
    <w:p>
      <w:r>
        <w:t>IT: VD_GERICHTE ZQ21.028228 del 24 gennaio 2022</w:t>
      </w:r>
    </w:p>
    <w:p>
      <w:pPr>
        <w:pStyle w:val="Heading2"/>
      </w:pPr>
      <w:r>
        <w:t>Erwägungen</w:t>
      </w:r>
    </w:p>
    <w:p>
      <w:r>
        <w:rPr>
          <w:b/>
        </w:rPr>
        <w:t>E. 2</w:t>
      </w:r>
    </w:p>
    <w:p>
      <w:r>
        <w:t>Le litige porte sur le bien-fondé de la suspension du droit à l’indemnité du recourant pendant vingt-trois jours à compter du 2 septembre 2020, au motif qu’il s’est trouvé au chômage par sa propre faute.</w:t>
      </w:r>
    </w:p>
    <w:p>
      <w:r>
        <w:rPr>
          <w:b/>
        </w:rPr>
        <w:t>E. 3</w:t>
      </w:r>
    </w:p>
    <w:p>
      <w:r>
        <w:t>a)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La résiliation conventionnelle d’un rapport de travail en dehors du délai contractuel correspond à un chômage fautif au sens de l’art. 30 al. 1 let. a LACI et non à une renonciation à des prétentions au sens de l’art. 30 al. 1 let. b LACI (TF 8C_10/2019 du 13 février 2020 consid. 4.1 et les références). b) Il y a lieu d’admettre de façon restrictive les circonstances pouvant justifier l’abandon d’un emploi (ATF 124 V 234 consid. 4b ; TF 8C_510/2017 du 22 février 2018 consid. 3.1).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En</w:t>
      </w:r>
    </w:p>
    <w:p>
      <w:r>
        <w:t>- 7 - revanche, on ne saurait en règle générale exiger de l’employé qu’il conserve son emploi, lorsque les manquements d’un employeur à ses obligations contractuelles atteignent un degré de gravité justifiant une résiliation immédiate (TF 8C_510/2017 du 22 février 2018 consid. 3.1 et les références citées), au sens de l’art. 337 CO (loi fédérale du 30 mars 1911 complétant le code civil suisse [Livre cinquième : Droit des obligations] ; RS 220). c) La notion de travail convenable est définie a contrario à l’art. 16 al. 2 LACI. N’est notamment pas réputé convenable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ou ne convient pas à l’âge, à la situation personnelle ou à l’état de santé de l’assuré (let. c). Seuls les emplois ne répondant pas aux critères d’admissibilité mentionnés à l’art. 16 al. 2 LACI peuvent être refusés sans qu’il puisse y avoir de sanction (ATF 124 V 62 consid. 3b et les références citées).</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 personne assurée en cas de doute (ATF 135 V 39 consid. 6.1 et les références citées).</w:t>
      </w:r>
    </w:p>
    <w:p>
      <w:r>
        <w:t>- 8 -</w:t>
      </w:r>
    </w:p>
    <w:p>
      <w:r>
        <w:rPr>
          <w:b/>
        </w:rPr>
        <w:t>E. 5</w:t>
      </w:r>
    </w:p>
    <w:p>
      <w:r>
        <w:t>En l’espèce, il est constant que le recourant a mis fin à son contrat de travail avant le terme de celui-ci, d’entente avec son employeur. Il soutient avoir agi de la sorte pour des motifs de santé et a produit un certificat de son psychiatre traitant. Le Dr Z.________ a fait état d’un trouble dépressif récurrent, épisode actuel moyen avec syndrome somatique. Ce médecin a attesté d’une incapacité de travail totale du 14 septembre au 10 octobre 2020, à réévaluer ultérieurement, et indiqué que la poursuite des rapports de travail avec I.________ SA aurait péjoré l’état de santé du recourant en raison d’une « situation de tension avec son employeur ». Au vu de ce document, mais également des autres certificats d’incapacité de travail au dossier, il convient de constater qu’en raison de son état de santé, le recourant n’aurait pas pu continuer à travailler pour I.________ SA sans se trouver en incapacité de travail. Du reste, l’intimée admet que l’emploi du recourant n’était plus convenable et que la poursuite des rapports de travail n’était pas exigible pour des raisons de santé (ch. 20s. de la décision sur opposition litigieuse). Cependant, l’intimée reproche au recourant d’avoir convenu avec son employeur d’une fin anticipée des rapports de travail, plutôt que d’avoir maintenu ces rapports jusqu’à leur échéance d’octobre 2021 avec un arrêt de travail ordonné par son médecin. D’après l’intimée, il aurait pu, dans cette hypothèse, « vraisemblablement » bénéficier du versement de son salaire jusqu’au terme de sa mission, plutôt que des indemnités journalières de chômage. Ce raisonnement ne peut pas être suivi. En effet, il ne saurait être exigé d’un assuré qu’il maintienne les rapports de travail au-delà de la période de protection salariale légale ou conventionnelle. En l’occurrence, le recourant était lié à son employeur par un contrat de travail de durée déterminée depuis le 10 octobre 2019, échéant le 31 octobre 2020. Conformément à l’art. 324a al. 1 et 2 CO, son employeur était tenu de payer le salaire pendant trois semaines en cas d’incapacité de travail pour cause de maladie, sous réserve de délais plus longs fixés par accord, contrat-type de travail ou convention collective. Or, la convention passée entre le recourant et son employeur comprenait le paiement par ce dernier d’une indemnité pour la résiliation anticipée des rapports de travail. Cette indemnité a d’ailleurs conduit l’intimée à</w:t>
      </w:r>
    </w:p>
    <w:p>
      <w:r>
        <w:t>- 9 - repousser le début du droit à l’indemnité de chômage au 2 septembre 2020, soit au-delà du délai de protection garanti par l’art. 324a al. 1 et 2 CO. Par conséquent, pour autant que ce délai lui fût applicable, il faudrait considérer que le recourant a sauvegardé convenablement les intérêts de l’assurance-chômage et ne lui a pas causé de dommage, de sorte que l’argumentation de l’intimée s’avérerait infondée. Toutefois, il est également envisageable que l’employeur ait mis le recourant au bénéfice d’une assurance collective d’indemnité journalière en cas de perte de gain garantissant une protection plus étendue. Si tel était le cas, le recourant ne pouvait effectivement pas convenir d’une résiliation anticipée des rapports de travail sans se prévaloir de son droit au salaire ou à une indemnité journalière remplaçant le paiement du salaire pour une plus longue durée, sauf à privilégier les intérêts de son employeur ou de son assurance collective au détriment de ceux de l’assurance-chômage. Or, l’instruction de l’intimée n’a pas porté sur ce point. Par conséquent, rien ne permet en l’état d’affirmer ou d’exclure que le recourant ait été au bénéfice d’une période de protection plus longue que celle prévu par l’art. 324a al. 2 CO. En d’autres termes, l’intimée n’a pas établi, au degré de la vraisemblance prépondérante, que le recourant aurait pu bénéficier du versement de son salaire ou d’une indemnité journalière s’y substituant jusqu’au terme de son contrat de travail de durée déterminée, soit jusqu’au 31 octobre 2020. Elle ne pouvait donc fonder sa décision sur cette hypothèse. Le contraire n’étant pas non plus suffisamment établi, il en découle que l’instruction menée par l’intimée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w:t>
      </w:r>
    </w:p>
    <w:p>
      <w:r>
        <w:rPr>
          <w:b/>
        </w:rPr>
        <w:t>E. 6</w:t>
      </w:r>
    </w:p>
    <w:p>
      <w:r>
        <w:t>a) Le recours doit par conséquent être admis, la décision sur opposition rendue le du 2 juin 2021 étant annulée et la cause renvoyée à</w:t>
      </w:r>
    </w:p>
    <w:p>
      <w:r>
        <w:t>- 10 - l’autorité intimée afin qu’elle complète l’instruction sur le point de savoir si le recourant était au bénéfice d’un droit au salaire ou à des indemnités journalières en cas de maladie plus étendu que celui conféré par l’art. 324a al. 2 CO, puis rende une nouvelle décision. b) Il n’y a pas lieu de percevoir de frais judiciaires (art. 61 let. fbis LPGA), ni d’allouer de dépens, la partie recourante ayant procédé sans mandataire qualifié (ATF 127 V 205 consid. 4b). Par ces motifs, le juge unique p r o n o n c e : I. Le recours est admis. II. La décision sur opposition rendue le 2 juin 2021 par Caisse de chômage O.________ est annulée et la cause renvoyée à cette institution pour instruction complémentaire dans le sens des considérants et nouvelle décision. III. Il n’est pas perçu de frais judiciaires, ni alloué de dépens. Le juge unique : La greffière : Du L'arrêt qui précède est notifié à : - X.________, - Caisse de chômage O.________,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