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ZQ21.027555 vom 4. Oktober 2021</w:t>
      </w:r>
    </w:p>
    <w:p>
      <w:r>
        <w:t>VD Tribunal cantonal, 2021-10-04, FR</w:t>
      </w:r>
    </w:p>
    <w:p>
      <w:r>
        <w:rPr>
          <w:b/>
        </w:rPr>
        <w:t xml:space="preserve">Quelle: </w:t>
      </w:r>
      <w:r>
        <w:t>https://mcp.opencaselaw.ch/entscheid/vd_gerichte_ZQ21.027555</w:t>
      </w:r>
    </w:p>
    <w:p>
      <w:r>
        <w:t>FR: VD_GERICHTE ZQ21.027555 du 4 octobre 2021</w:t>
      </w:r>
    </w:p>
    <w:p>
      <w:r>
        <w:t>IT: VD_GERICHTE ZQ21.027555 del 4 ottobre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w:t>
      </w:r>
    </w:p>
    <w:p>
      <w:r>
        <w:t>- 5 - 2008 sur la procédure administrative ; BLV 173.36]) et respectant les autres conditions formelles prévues par la loi (art. 61 let. b LPGA notamment), le recours est recevable.</w:t>
      </w:r>
    </w:p>
    <w:p>
      <w:r>
        <w:rPr>
          <w:b/>
        </w:rPr>
        <w:t>E. 2</w:t>
      </w:r>
    </w:p>
    <w:p>
      <w:r>
        <w:t>Le litige a pour objet la question de l’aptitude au placement du recourant pour la période courant du 11 décembre 2020 au 31 mars 2021.</w:t>
      </w:r>
    </w:p>
    <w:p>
      <w:r>
        <w:rPr>
          <w:b/>
        </w:rPr>
        <w:t>E. 3</w:t>
      </w:r>
    </w:p>
    <w:p>
      <w:r>
        <w:t>a) L’assuré a droit à l’indemnité de chômage, entre autres conditions, s’il est apte au placement (art. 8 al. 1 let. f LACI). b)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 c’est-à-dire la faculté d’exercer une activité lucrative salariée sans être empêché par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136 V 95 consid. 7.3 ; ATF 125 V 51 consid. 6a ; ATF 123 V 214 consid. 3 ; TF 8C_169/2014 du 2 mars 2015 consid. 3.1 ; TF 8C_490/2010 du 23 février 2011 consid. 3.1). c) En cas de limitation de la capacité de travail, l’art. 15 al. 2, première phrase, LACI prévoit que le handicapé physique ou mental est réputé apte à être placé lorsque, compte tenu de son infirmité et dans l’hypothèse d’une situation équilibrée sur le marché de l’emploi, un travail convenable pourrait lui être procuré sur ce marché. Le Conseil fédéral est chargé de régler la coordination avec l’assurance-invalidité (art. 15 al. 2, deuxième phrase, LACI). L’art. 15 al. 3 OACI prévoit ainsi que lorsqu’une personne n’est pas manifestement inapte au placement et qu’elle s’est annoncée à l’assurance-invalidité, elle est réputée apte au placement jusqu’à la décision de cette assurance.</w:t>
      </w:r>
    </w:p>
    <w:p>
      <w:r>
        <w:t>- 6 - Le système légal distingue ainsi l’aptitude au placement des chômeurs dont la capacité de travail est réduite (art. 15 al. 2 LACI) de ceux qui ont déposé une demande de prestations à l’assurance-invalidité (art. 15 al. 3 OACI). Les exigences d’aptitude au placement sont réduites pour les chômeurs dont l’invalidité a été reconnue. Elles le sont encore davantage pour ceux qui ont déposé une demande de prestations. La réduction des exigences ne touche toutefois que le critère de la capacité de travailler et non celui de la volonté d’intégrer le marché du travail (TF 8C_490/2010 du 23 février 2011 consid. 4.1 ; TF 8C_497/2008 du 4 août 2008). Ainsi, l’obligation d’avancer les prestations qui incombe à l’assurance-chômage ne signifie pas que l’indemnité de chômage est accordée sans réserve jusqu’à ce qu’une décision ait été rendue par l’assurance-invalidité ou l’assurance-accidents. Pour être apte au placement, l’assuré doit non seulement disposer de la capacité de travailler au sens objectif, mais encore être subjectivement disposé à travailler en fonction des circonstances inhérentes à sa personne pendant le temps de travail usuel (TFA C 272/02 du 17 juin 2003). Le droit aux prestations sera nié à l’assuré s’il considère lui-même – à tort ou à raison – qu’il n’est pas apte au travail en attendant la décision de l’assurance- invalidité et qu’il ne recherche ni n’accepte un travail réputé convenable (critère subjectif). Même un certificat médical affirmant le contraire n’y changera rien (TF C 73/06 du 23 février 2007 consid. 3.2 ; voir également BORIS RUBIN, Commentaire de la loi sur l’assurance-chômage, Genève/Zurich/Bâle 2014, n° 78 ad art. 15 LACI). d) Celui à qui un événement assuré donne droit à des prestations d’une assurance sociale peut demander la prise en charge provisoire de son cas, lorsqu’il y a doute sur le débiteur de ces prestations (art. 70 al. 1 LPGA). L’assurance-chômage est tenue de prendre provisoirement le cas à sa charge, lorsque l’obligation de prester de l’assurance-chômage, de l’assurance-maladie, de l’assurance-accidents ou de l’assurance-invalidité est contestée (art. 70 al. 2 let. b LPGA). L’art. 70 LPGA est concrétisé, s’agissant des rapports entre les obligations de prester respectives de l’assurance-chômage d’une part et</w:t>
      </w:r>
    </w:p>
    <w:p>
      <w:r>
        <w:t>- 7 - de l’assurance-invalidité (ou d’une autre assurance visée par cette disposition) d’autre part, par l’art. 15 al. 3 OACI, qui dispose que lorsqu’un handicapé n’est pas manifestement inapte au placement et qu’il s’est annoncé à l’assurance-invalidité (ou à une autre assurance visée par cette disposition), il est réputé apte au placement jusqu’à la décision de l’autre assurance. L’obligation de l’assurance-chômage de prendre provisoirement le cas à sa charge, lorsque l’obligation de prester de l’assurance-invalidité est contestée, n’est pas inconditionnelle, en ce sens que l’assuré aurait droit aux prestations de l’assurance-chômage du seul fait que l’obligation de prester de l’assurance-invalidité est contestée; elle présuppose que l’assuré qui sollicite l’indemnité de chômage ne soit pas manifestement inapte au placement, étant rappelé que l’aptitude au placement comprend non seulement un élément objectif mais aussi un élément subjectif.</w:t>
      </w:r>
    </w:p>
    <w:p>
      <w:r>
        <w:rPr>
          <w:b/>
        </w:rPr>
        <w:t>E. 4</w:t>
      </w:r>
    </w:p>
    <w:p>
      <w:r>
        <w:t>En l’espèce, il y a lieu de constater que le recourant, lorsqu’il s’est annoncé le 11 décembre 2020 auprès de l’ORP, avait déjà déposé une demande de prestations de l’assurance-invalidité, dont l’instruction était toujours en cours à la date de la décision sur opposition litigieuse et que, partant, l’aptitude au placement doit être examinée sous l’angle de l’art. 15 al. 3 OACI. Il convient de relever que la capacité de travail objective du recourant entre le 11 décembre 2020 et le 31 mars 2021 peut être appréciée sur la base des certificats médicaux établis par le Dr A._________. Ce médecin a, en raison des troubles scapulaires, prolongé jusqu’au 31 mars 2021 l’incapacité totale de travailler du recourant, dans son activité habituelle, laquelle est pourtant essentiellement administrative. Dans un procès-verbal d’entretien daté du 2 février 2021, le recourant a d’ailleurs indiqué à son conseiller que son médecin traitant s’opposait pour l’heure à ce que son patient reprenne le travail. Dans ces conditions, il y a lieu de constater que la condition objective de l’aptitude au placement du recourant n’était pas remplie au cours de la période litigieuse, de sorte que la décision sur opposition du 28</w:t>
      </w:r>
    </w:p>
    <w:p>
      <w:r>
        <w:t>- 8 - mai 2021 confirmant l’inaptitude au placement du 11 décembre 2020 au 31 mars 2021 échappe à la critique. La condition objective à la reconnaissance de l’aptitude au placement n’étant pas donnée, il n’y a pas lieu d’examiner si tel était le cas de la condition subjective.</w:t>
      </w:r>
    </w:p>
    <w:p>
      <w:r>
        <w:rPr>
          <w:b/>
        </w:rPr>
        <w:t>E. 5</w:t>
      </w:r>
    </w:p>
    <w:p>
      <w:r>
        <w:t>Le dossier est complet, permettant à la Cour de statuer en connaissance de cause. Un complément d’instruction apparaît ainsi inutile et la requête formulée en ce sens par le recourant dans son mémoire de recours du 25 juin 2021 – soit l’interrogatoire de son conseiller « sur toutes les questions en lien avec le défaut d’information du recourant et les renseignements erronés qui lui ont été fournis »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ATF 134 I 140 consid. 5.3 ; ATF 130 II 425 consid. 2.1).</w:t>
      </w:r>
    </w:p>
    <w:p>
      <w:r>
        <w:rPr>
          <w:b/>
        </w:rPr>
        <w:t>E. 6</w:t>
      </w:r>
    </w:p>
    <w:p>
      <w:r>
        <w:t>a) Mal fondé, le recours doit par conséquent être rejeté et la décision attaquée confirmée.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