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ZQ21.026565 vom 2. Dezember 2021</w:t>
      </w:r>
    </w:p>
    <w:p>
      <w:r>
        <w:t>VD Tribunal cantonal, 2021-12-02, FR</w:t>
      </w:r>
    </w:p>
    <w:p>
      <w:r>
        <w:rPr>
          <w:b/>
        </w:rPr>
        <w:t xml:space="preserve">Quelle: </w:t>
      </w:r>
      <w:r>
        <w:t>https://mcp.opencaselaw.ch/entscheid/vd_gerichte_ZQ21.026565</w:t>
      </w:r>
    </w:p>
    <w:p>
      <w:r>
        <w:t>FR: VD_GERICHTE ZQ21.026565 du 2 décembre 2021</w:t>
      </w:r>
    </w:p>
    <w:p>
      <w:r>
        <w:t>IT: VD_GERICHTE ZQ21.026565 del 2 dicembre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w:t>
      </w:r>
    </w:p>
    <w:p>
      <w:r>
        <w:t>- 5 -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Est seule litigieuse la question de l’aptitude au placement du recourant depuis le 6 avril 2020.</w:t>
      </w:r>
    </w:p>
    <w:p>
      <w:r>
        <w:rPr>
          <w:b/>
        </w:rPr>
        <w:t>E. 3</w:t>
      </w:r>
    </w:p>
    <w:p>
      <w:r>
        <w:t>a) L’assuré a droit à l’indemnité de chômage à la condition notamment qu’il soit apte au placement (art. 8 al. 1 let. f LACI). Un assuré est apte au placement lorsqu’il est disposé à accepter un travail convenable et à participer à des mesures d’intégration et qu’il est en mesure et en droit de le faire (art. 15 al. 1 LACI). Selon la formule consacrée par la jurisprudence, l’aptitude au placement comprend deux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tel emploi et quant au nombre des employeurs potentiels (ATF 136 V 95 consid. 5.1 ; 125 V 51 consid. 6a et 123 V 214 consid. 3 ; TF 8C_862/2015 du 26 février 2016 consid. 3.2 ; BORIS RUBIN, Commentaire de la loi sur l’assurance-chômage, Genève/Zurich/Bâle 2014, n. 14 ad art. 15 LACI).</w:t>
      </w:r>
    </w:p>
    <w:p>
      <w:r>
        <w:t>- 6 - b) L’aptitude au placement suppose que l’assuré soit au bénéfice d’une autorisation de travail qui lui permette, le cas échéant, d’accepter l’offre d’un employeur potentiel. A défaut d’une telle autorisation, l’aptitude au placement et, partant le droit à l’indemnité, doivent être niés (ATF 120 V 392 consid. 2a). Cependant, le Tribunal fédéral admet qu’il est suffisant que l’assuré puisse s’attendre à obtenir une autorisation de travail dans l’hypothèse où il trouverait un travail convenable (ATF 120 V 392 consid. 2c). Pour trancher cette question, il s’agit de déterminer – de manière prospective, sur la base des faits tels qu’ils se sont déroulés jusqu’au moment de la décision sur opposition (ATF 120 V 385 consid. 3) – si l’assuré pouvait ou non compter sur l’obtention d’une autorisation de travail au moment où il s’est annoncé à l’assurance- chômage (THOMAS NUSSBAUMER, Arbeitslosenversicherung, in : Schweizerisches Bundesverwaltungsrecht [SBVR], Soziale Sicherheit, 3e éd., 2016, p. 2347 n. 269 ; BORIS RUBIN, op. cit., n. 72 ad art. 15 LACI).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du marché du travail au sens de l’art. 40 LEI (loi fédérale du 16 décembre 2005 sur les étrangers et l’intégration ; RS 142.20), pour savoir si la personne intéressée peut s’attendre à obtenir une autorisation de travail (ATF 120 V 392 consid. 2c ; BORIS RUBIN, op. cit., n. 72 ad art. 15 LACI). Pour qu’une indemnisation puisse avoir lieu, il faut que le droit de travailler existe, et ce pour chaque période concernée (DTA 1996/1997 p. 182 consid. 3a/aa). L’examen de l’aptitude au placement se fonde sur une appréciation prospective. Il convient donc de déterminer pour chaque période précise si l’assuré pouvait compter obtenir une autorisation de travailler (TFA C 405/00 du 9 mars 2001 consid. 3a ; C 168/05 du 11 juillet 2006). L’existence d’une telle autorisation à un moment donné ne permet</w:t>
      </w:r>
    </w:p>
    <w:p>
      <w:r>
        <w:t>- 7 - ni à l’administration ni au juge d’admettre l’aptitude au placement pour une période antérieure durant laquelle cette autorisation n’aurait pas été délivrée (TF C 248/06 du 24 avril 2007). De même, le droit de prendre un emploi n’est pas immuable et peut disparaître d’un jour à l’autre (BORIS RUBIN, op. cit., n. 73 ad art. 15 LACI).</w:t>
      </w:r>
    </w:p>
    <w:p>
      <w:r>
        <w:rPr>
          <w:b/>
        </w:rPr>
        <w:t>E. 4</w:t>
      </w:r>
    </w:p>
    <w:p>
      <w:r>
        <w:t>a) En vertu de l’art. 18 LEI, un étranger peut être admis en vue de l’exercice d’une activité lucrative salariée si son admission sert les intérêts économiques du pays (let. a), si son employeur a déposé une demande (let. b) et si les conditions fixées aux art. 20 à 25 LEI sont remplies (let. c). b)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LEI). c) D’après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notamment les personnes possédant des connaissances ou des capacités professionnelles particulières, si leur admission répond de manière avérée à un besoin (al. 3 let. c).</w:t>
      </w:r>
    </w:p>
    <w:p>
      <w:r>
        <w:rPr>
          <w:b/>
        </w:rPr>
        <w:t>E. 5</w:t>
      </w:r>
    </w:p>
    <w:p>
      <w:r>
        <w:t>En l’occurrence, la Cour de céans estime que, d’un point de vue prospectif, il existait sans conteste, au moment où le recourant a sollicité les prestations de l’assurance-chômage, des indices concrets suffisants laissant augurer qu’il serait autorisé, dans l’hypothèse où il trouverait un travail convenable, à séjourner en Suisse et, partant, à y exercer une activité lucrative. En effet, outre le fait d’avoir déjà bénéficié</w:t>
      </w:r>
    </w:p>
    <w:p>
      <w:r>
        <w:t>- 8 - d’une telle autorisation, qu’il s’agissait donc de renouveler, le recourant remplit manifestement les conditions posées par l’art. 23 al. 3 let. c LEI. Disposant d’une formation académique d’ingénieur complète, alliant licence et doctorat, ainsi que d’une expérience de plusieurs années dans le domaine énergétique, et singulièrement dans le domaine très prisé des énergies renouvelables, à l’étranger puis en Suisse, il est en mesure d’offrir à tout employeur potentiel, par ses connaissances et ses qualifications particulières, un potentiel de développement incontestablement intéressant. Dans les explications qu’il a fournies au cours de la procédure, l’intimé n’a mis en évidence – hormis l’existence du constat lapidaire du CMTPT d’un « dossier à l’examen sans droit de travailler », non motivé et alors que la problématique de la Covid-19 paralysait les procédures –, aucun motif pertinent – qui relèverait de la situation économique ou du marché du travail – pouvant justifier le refus d’une nouvelle autorisation de séjour avec activité lucrative en cas de proposition d’embauche concrète. De fait, il convient d’admettre que le recourant pouvait compter sur la délivrance d’une autorisation de séjour avec activité lucrative, déjà du simple fait de ses compétences professionnelles et de son profil particulier, mais également du fait que la capacité d’adaptation professionnelle et sociale dont il a su faire preuve, ses connaissances linguistiques et son âge laissent aisément supposer qu’il s’intégrera durablement à l’environnement professionnel et social. On observera enfin que le recourant a obtenu l’autorisation de travailler qu’il a sollicitée dans le cadre du contrat de travail qui lui a été proposé. Sans qu’il soit déterminant pour l’issue du litige dès lors qu’il est intervenu postérieurement à la décision attaquée, ce fait n’infirme à tout le moins pas le bien-fondé du raisonnement prospectif tenu ci-dessus.</w:t>
      </w:r>
    </w:p>
    <w:p>
      <w:r>
        <w:rPr>
          <w:b/>
        </w:rPr>
        <w:t>E. 6</w:t>
      </w:r>
    </w:p>
    <w:p>
      <w:r>
        <w:t>a) Sur le vu de ce qui précède, il y a lieu d’admettre le recours et d’annuler la décision sur opposition du 19 mai 2021, respectivement celle du 12 février 2021 prononçant l’inaptitude au placement de l’assuré à compter du 6 avril 2020. La cause est ainsi renvoyée à l’intimé pour l’examen des autres conditions du droit à l’indemnité et rendre une nouvelle décision.</w:t>
      </w:r>
    </w:p>
    <w:p>
      <w:r>
        <w:t>- 9 - b) Il n’y a pas lieu de percevoir de frais judiciaires (art. 61 let. fbis LPGA), ni d’allouer de dépens, le recourant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