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ZQ21.024946 vom 5. Oktober 2021</w:t>
      </w:r>
    </w:p>
    <w:p>
      <w:r>
        <w:t>VD Tribunal cantonal, 2021-10-05, FR</w:t>
      </w:r>
    </w:p>
    <w:p>
      <w:r>
        <w:rPr>
          <w:b/>
        </w:rPr>
        <w:t xml:space="preserve">Quelle: </w:t>
      </w:r>
      <w:r>
        <w:t>https://mcp.opencaselaw.ch/entscheid/vd_gerichte_ZQ21.024946</w:t>
      </w:r>
    </w:p>
    <w:p>
      <w:r>
        <w:t>FR: VD_GERICHTE ZQ21.024946 du 5 octobre 2021</w:t>
      </w:r>
    </w:p>
    <w:p>
      <w:r>
        <w:t>IT: VD_GERICHTE ZQ21.024946 del 5 ottobre 2021</w:t>
      </w:r>
    </w:p>
    <w:p>
      <w:pPr>
        <w:pStyle w:val="Heading2"/>
      </w:pPr>
      <w:r>
        <w:t>Erwägungen</w:t>
      </w:r>
    </w:p>
    <w:p>
      <w:r>
        <w:rPr>
          <w:b/>
        </w:rPr>
        <w:t>E. 3</w:t>
      </w:r>
    </w:p>
    <w:p>
      <w:r>
        <w:t>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Par le biais de la reconsidération, on corrigera une application initiale erronée du droit, de même qu’une constatation erronée</w:t>
      </w:r>
    </w:p>
    <w:p>
      <w:r>
        <w:t>- 7 -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 TF I 907/06 du 7 mai 2007 consid. 3.2.1).</w:t>
      </w:r>
    </w:p>
    <w:p>
      <w:r>
        <w:rPr>
          <w:b/>
        </w:rPr>
        <w:t>E. 4</w:t>
      </w:r>
    </w:p>
    <w:p>
      <w:r>
        <w:t>a) Selon l’art. 31 al. 1 LACI, les travailleurs dont la durée normale du travail est réduite ou l’activité suspendue ont droit à l’indemnité en cas de réduction de l’horaire de travail lorsque : a. ils sont tenus de cotiser à l’assurance ou qu’ils n’ont pas encore atteint l’âge minimum de l’assujettissement aux cotisations AVS ; b. la perte de travail doit être prise en considération (art. 32) ; c. le congé n’a pas été donné ; d. la réduction de l’horaire de travail est vraisemblablement temporaire, et si l’on peut admettre qu’elle permettra de maintenir les emplois en question. b) L’art. 31 al. 3 LACI précise que n’ont pas droit à l’indemnité en cas de réduction de l’horaire de travail :</w:t>
      </w:r>
    </w:p>
    <w:p>
      <w:r>
        <w:t>- 8 - a. les travailleurs dont la réduction de l’horaire de travail ne peut être déterminée ou dont l’horaire de travail n’est pas suffisamment contrôlable ; b. le conjoint de l’employeur, occupé dans l’entreprise de celui-ci ; c.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c) Aux termes de l’art. 2 de l’ordonnance du 20 mars 2020 sur les mesures dans le domaine de l’assurance-chômage en lien avec le coronavirus [Ordonnance COVID-19 assurance-chômage ; RS 837.033]), applicable du 1er mars au 31 mai 2020, les personnes qui fixent les décisions que prend l’employeur – ou peuvent les influencer considérablement – en qualité d’associé, de membre d’un organe dirigeant de l’entreprise ou encore de détenteur d’une participation financière à l’entreprise ont, en dérogation à l’art. 31 al. 3, let. c, LACI, le droit à l’indemnité en cas de réduction de l’horaire de travail; il en va de même des conjoints ou des partenaires enregistrés de ces personnes, qui sont occupés dans l’entreprise.</w:t>
      </w:r>
    </w:p>
    <w:p>
      <w:r>
        <w:rPr>
          <w:b/>
        </w:rPr>
        <w:t>E. 5</w:t>
      </w:r>
    </w:p>
    <w:p>
      <w:r>
        <w:t>Selon la jurisprudence relative à l'art. 31 al. 3, let. c, LACI, il n'est pas admissible de refuser, de façon générale, le droit aux prestations aux employés au seul motif qu'ils peuvent engager l'entreprise par leur signature et qu'ils sont inscrits au registre du commerce. L'autorité ne doit pas se fonder de façon stricte sur la position formelle de l'organe à considérer, mais bien plutôt établir l'étendue du pouvoir de décision en fonction des circonstances concrètes. En particulier, lorsqu'il s'agit de déterminer quelle est la possibilité effective d'un dirigeant d'influencer le processus de décision de l'entreprise, il convient de prendre en compte les rapports internes existant dans l'entreprise en cause (TFA C 45/04 du 27 janvier 2005 consid. 3.1 et les références). La seule exception à ce</w:t>
      </w:r>
    </w:p>
    <w:p>
      <w:r>
        <w:t>- 9 - principe retenue par la jurisprudence concerne les personnes dont le pouvoir de décision résulte de la loi. Ainsi, les membres du conseil d'administration d'une société anonyme ou les associés gérants d'une société à responsabilité limitée sont réputés disposer d'un pouvoir déterminant, sans qu'il soit nécessaire de procéder à l'examen concret des responsabilités matérielles qu'ils exercent au sein de la société, fût-ce en ne disposant que d'une signature collective (TF 8C_515/2007 du 8 avril 2008 consid. 2.2 in fine et les références ; TF C 224/06 du 3 octobre 2007 consid. 2.2 ; TFA C 219/03 du 2 juin 2004 consid. 2.4).</w:t>
      </w:r>
    </w:p>
    <w:p>
      <w:r>
        <w:rPr>
          <w:b/>
        </w:rPr>
        <w:t>E. 6</w:t>
      </w:r>
    </w:p>
    <w:p>
      <w:r>
        <w:t>a) En l’occurrence, il ressort des données du registre du commerce qu’C.________ exerce depuis le mois de janvier 2018 la fonction d’administrateur unique avec signature individuelle de la recourante. A compter du 1er juin 2020, soit après l’abrogation de l’art. 2 de l’ordonnance COVID-19 assurance-chômage, C.________ ne pouvait par conséquent plus prétendre en sa faveur, conformément à l’art. 31 al. 3, let. c, LACI, à l’indemnité en cas de réduction de l’horaire de travail, eu égard à sa qualité d’organe formel de la recourante. Aussi, c’est à juste titre que la caisse intimée a reconsidéré sa décision tendant à l’octroi à la recourante de l’indemnité en cas de réduction de l’horaire de travail pour C.________, dès lors que cette décision était manifestement erronée. Le fait qu’C.________ ait déjà été exclu du droit à l’indemnité en cas de réduction de l’horaire de travail en raison de sa qualité d’associé gérant de la société I.________Sàrl n’a aucune importance dans le présent contexte. b) En vérité, la recourante ne conteste pas vraiment que les conditions d’une reconsidération sont réalisées, puisqu’elle fait valoir en substance qu’elle doit être protégée dans sa bonne foi, motif qui a trait à la remise de l'obligation de restituer, laquelle ne fait pas l'objet de la décision litigieuse et sort du cadre du présent litige. Si elle entend faire examiner ce moyen, la recourante est tenue de déposer une demande de remise de l'obligation de restituer (cf. art. 4 al. 4 OPGA [ordonnance du 11 septembre 2002 sur la partie générale du droit des assurances sociales ; RS 830.11]). Le cas échéant, il appartiendra alors à la caisse intimée</w:t>
      </w:r>
    </w:p>
    <w:p>
      <w:r>
        <w:t>- 10 - d'apprécier le comportement qu’elle a eu en cours de procédure et de dire si la recourante peut se prévaloir de sa bonne foi.</w:t>
      </w:r>
    </w:p>
    <w:p>
      <w:r>
        <w:rPr>
          <w:b/>
        </w:rPr>
        <w:t>E. 7</w:t>
      </w:r>
    </w:p>
    <w:p>
      <w:r>
        <w:t>a) En définitive, le recours, mal fondé, doit être rejeté et la décision sur opposition litigieuse confirmée. b) Il n’y a pas lieu de percevoir de frais judiciaires, la loi spéciale ne le prévoyant pas (art. 61 let. fbis LPGA), ni d’allouer de dépens, dès lors que ls recourante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