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ZQ21.021395 vom 29. November 2021</w:t>
      </w:r>
    </w:p>
    <w:p>
      <w:r>
        <w:t>VD Tribunal cantonal, 2021-11-29, FR</w:t>
      </w:r>
    </w:p>
    <w:p>
      <w:r>
        <w:rPr>
          <w:b/>
        </w:rPr>
        <w:t xml:space="preserve">Quelle: </w:t>
      </w:r>
      <w:r>
        <w:t>https://mcp.opencaselaw.ch/entscheid/vd_gerichte_ZQ21.021395</w:t>
      </w:r>
    </w:p>
    <w:p>
      <w:r>
        <w:t>FR: VD_GERICHTE ZQ21.021395 du 29 novembre 2021</w:t>
      </w:r>
    </w:p>
    <w:p>
      <w:r>
        <w:t>IT: VD_GERICHTE ZQ21.021395 del 29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c) La contestation porte sur la question d’une aptitude au placement supérieure à 60 %, pour une période limitée dans le temps, soit durant la formation entreprise. Au vu de la valeur litigieuse inférieure à 30’000 fr., la cause est de la compétence du juge unique (art. 94 al. 1 let. a LPA-VD).</w:t>
      </w:r>
    </w:p>
    <w:p>
      <w:r>
        <w:rPr>
          <w:b/>
        </w:rPr>
        <w:t>E. 2</w:t>
      </w:r>
    </w:p>
    <w:p>
      <w:r>
        <w:t>Le litige porte sur le taux de disponibilité que l’assurée est susceptible de consacrer à une activité lucrative salariée en parallèle à la formation débutée le 22 février 2021, singulièrement sur la fixation de ce taux à 60 % par l’intimé. On précisera que l’objet du litige est déterminé par la décision attaquée, qui limite la période litigieuse, de sorte que toute conclusion de la recourante tendant à statuter pro futuro est irrecevable (cf. ATF 144 II 359 consid. 4.3; 142 I 155 consid. 4.4.2 ; 134 V 418 consid. 5.2.1).</w:t>
      </w:r>
    </w:p>
    <w:p>
      <w:r>
        <w:rPr>
          <w:b/>
        </w:rPr>
        <w:t>E. 3</w:t>
      </w:r>
    </w:p>
    <w:p>
      <w:r>
        <w:t>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 ATF 125 V 51 consid. 6a ; ATF 123 V 214 consid. 3).</w:t>
      </w:r>
    </w:p>
    <w:p>
      <w:r>
        <w:t>- 6 - L’aptitude au placement n’est pas sujette à fractionnement en ce sens qu’il existerait des situations intermédiaires entre l’aptitude et l’inaptitude au placement (par exemple une aptitude seulement « partielle ») auxquelles la loi attacherait des conséquences particulières. Lorsqu’un assuré est disposé à n’accepter qu’un travail à temps partiel – jusqu’à concurrence au moins de 20 % d’un horaire de travail complet (cf. art. 5 OACI) – il convient non pas d’admettre une aptitude au placement partielle pour une perte de travail de 100 %, mais à l’inverse, d’admettre purement et simplement l’aptitude au placement de l’intéressé dans le cadre d’une perte de travail partielle (ATF 136 V 95 consid. 5.1 ; ATF 126 V 124 consid. 2 ; ATF 125 V 51 consid. 6a ; TF 8C_14/2015 du 18 mai 2015 consid. 3). C’est sous l’angle de la perte de travail à prendre en considération (cf. art. 11 al. 1 LACI) qu’il faut, le cas échéant, tenir compte du fait qu’un assuré au chômage ne peut ou ne veut pas travailler à plein temps (ATF 126 V 124 consid. 2 ; TF 8C_14/2015 précité). b) Le Secrétariat d’Etat à l’économie (SECO), autorité de surveillance en matière d’assurance-chômage, a prescrit dans son bulletin relatif à l’indemnité de chômage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B219). c) Par ailleurs,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primaire compte tenu de son profil, de la situation conjoncturelle et de l’ensemble des circonstances. Si ses chances d’être engagé sont faibles, l’aptitude au placement doit lui être niée (Bulletin LACI IC B226).</w:t>
      </w:r>
    </w:p>
    <w:p>
      <w:r>
        <w:t>- 7 - d) De plus, l’assuré qui ne peut se mettre à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 au placement, ses chances d’engagement étant trop minces. e) Si l’assuré est disponible pendant au moins trois mois, il est réputé apte au placement. En cas de disponibilité inférieure à trois mois, l’aptitude au placement peut être reconnue à un assuré lorsque, compte tenu de la situation du marché du travail et de la souplesse de l’assuré (par exemple s’il est disposé à exercer une activité en dehors de la profession qu’il a apprise et à accepter des emploi temporaires), il a vraisemblablement des chances de trouver un emploi (Bulletin LACI IC B227). f) En règle générale, un employeur est peu enclin à prendre en considération une offre de service de durée limitée. Un chômeur qui prend des engagements à partir d’une date déterminée et, de ce fait, n’est disponible sur le marché de l’emploi que pour une courte période n’est, dès lors, en principe pas apte au placement. Concrètement, il n’aura que très peu de chance de conclure un contrat de travail. De surcroît, la recherche d’un emploi prend du temps et, en cas d’engagement, il est assez rare que les rapports de travail commencent séance tenante. Cela réduit d’autant plus le temps effectif pouvant être consacré à une activité et, partant, le nombre d’employeurs potentiels. Si la durée du chômage avant le retrait du marché du travail est inférieure à trois mois, l’aptitude au placement sera en principe niée (BORIS RUBIN, Commentaire de la loi sur l’assurance-chômage, Genève/Zurich/Bâle 2014, n. 56 s. ad art. 15 LACI).</w:t>
      </w:r>
    </w:p>
    <w:p>
      <w:r>
        <w:rPr>
          <w:b/>
        </w:rPr>
        <w:t>E. 4</w:t>
      </w:r>
    </w:p>
    <w:p>
      <w:r>
        <w:t>En l’espèce, l’aptitude au placement de la recourante à compter du 13 janvier 2021 n’est à juste titre pas contestée, le litige tenant au seul pourcentage de l’aptitude « partielle » à 60 % retenue par l’intimé. A cet égard, il convient de préciser que, contrairement à ce que</w:t>
      </w:r>
    </w:p>
    <w:p>
      <w:r>
        <w:t>- 8 - suggère l’intimé, l’aptitude au placement (art. 8 al. 1 let. f et art. 15 LACI) n’est pas sujette à fractionnement en ce sens qu’il existerait des situations intermédiaires entre l’aptitude et l’inaptitude au placement (par exemple une aptitude seulement « partielle »), auxquelles la loi attacherait des conséquences particulières (cf. ATF 126 V 124 consid. 2 ; ATF 120 V 385 consid. 4c/aa in fine). En effet, c’est sous l’angle de la perte de travail à prendre en considération (art. 11 al. 1 LACI) qu’il faut, le cas échéant, tenir compte du fait qu’un assuré au chômage ne peut ou ne veut pas travailler à plein temps (cf. consid. 3a supra in fine). Cela étant, c’est à tort que la recourante estime pouvoir se voir reconnaître une aptitude à 80 % du 13 janvier au 22 février 2021, date du début de ses cours. Conformément à la jurisprudence (cf. consid. 3c – 3f supra), il convenait en effet de considérer qu’il s’est agi d’une période trop brève pour se mettre à disposition à ce taux sur le marché du travail, et il s’agissait donc bien de déterminer, dans le cas particulier, si l’on pouvait vraisemblablement s’attendre à ce qu’un employeur l’engage pour la période durant laquelle elle restait concrètement disponible. Toutefois, on observe que le taux d’aptitude retenu par l’intimé, porté sur opposition de 50 % à 60 %, se fonde sur l’horaire définitif des cours que l’intéressée a communiqué dans le cadre de son opposition. Ainsi, il a été tenu compte d’une journée entière supplémentaire, soit le jeudi. Par ailleurs l’intimé a pris en considération que le lundi était également totalement libre, alors que la disponibilité n’était que d’une demi-journée les mardi et vendredi. La décision attaquée est cependant muette quant à la journée du mercredi, pour laquelle la grille horaire des cours retient la période de 10h00 à 14h00, laissant ainsi également une disponibilité d’une demi-journée. Partant, dans la mesure où l’aptitude au placement initialement fixée à 50 % à raison de seize heures de cours par semaine devait être revue à la hausse en raison d’un horaire effectif de dix heures, soit près d’un tiers en moins, l’aptitude de 60 % telle que retenue paraît insuffisante. Cela se justifiait d’autant moins que, particulièrement</w:t>
      </w:r>
    </w:p>
    <w:p>
      <w:r>
        <w:t>- 9 - exemplaire dans le respect de ses obligations, l’assurée a cumulé plusieurs emplois en gains intermédiaires, démontrant ainsi une aptitude au placement concrète supérieure, dont il convenait de tenir compte. En conséquence, s’il n’y avait pas à porter l’aptitude à 80 %, compte tenu des cours suivis et de la préparation de ceux-ci, c’est un taux de disponibilité de 75 % (50 % + 25 %) qu’il convenait de retenir au regard des circonstances concrètes du cas particulier.</w:t>
      </w:r>
    </w:p>
    <w:p>
      <w:r>
        <w:rPr>
          <w:b/>
        </w:rPr>
        <w:t>E. 5</w:t>
      </w:r>
    </w:p>
    <w:p>
      <w:r>
        <w:t>a) Il s’ensuit que le recours doit dès lors être admis et la décision attaquée réformée en ce sens que l’aptitude au placement de la recourante est fixée à 75 % à compter du 13 janvier 2021. Elle sera réexaminée au besoin au regard des circonstances que pourront révéler les entretiens de contrôle à intervenir. b) Il n’y a pas lieu de percevoir de frais judiciaires (art. 61 let. fbis LPGA), ni d’allouer de dépens, la recourante ayant procédé sans mandataire qualifié (ATF 127 V 205 consid. 4b). Par ces motifs, le juge unique p r o n o n c e : I. Le recours est admis.</w:t>
      </w:r>
    </w:p>
    <w:p>
      <w:r>
        <w:t>- 10 - II. La décision sur opposition rendue le 12 mai 2021 par le Service de l’emploi, Instance juridique chômage, est réformée en ce sens que l’aptitude au placement d’A.__________ est reconnue pour un taux d’occupation de 75 % dès le 13 janvier 2021. III. Il n’est pas perçu de frais judiciaires, ni alloué de dépens. Le juge unique : Le greffier : Du</w:t>
      </w:r>
    </w:p>
    <w:p>
      <w:r>
        <w:t>- 11 - L'arrêt qui précède est notifié à : - A.__________,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