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ZQ21.014496 vom 2. Dezember 2021</w:t>
      </w:r>
    </w:p>
    <w:p>
      <w:r>
        <w:t>VD Tribunal cantonal, 2021-12-02, FR</w:t>
      </w:r>
    </w:p>
    <w:p>
      <w:r>
        <w:rPr>
          <w:b/>
        </w:rPr>
        <w:t xml:space="preserve">Quelle: </w:t>
      </w:r>
      <w:r>
        <w:t>https://mcp.opencaselaw.ch/entscheid/vd_gerichte_ZQ21.014496</w:t>
      </w:r>
    </w:p>
    <w:p>
      <w:r>
        <w:t>FR: VD_GERICHTE ZQ21.014496 du 2 décembre 2021</w:t>
      </w:r>
    </w:p>
    <w:p>
      <w:r>
        <w:t>IT: VD_GERICHTE ZQ21.014496 del 2 dicembre 2021</w:t>
      </w:r>
    </w:p>
    <w:p>
      <w:pPr>
        <w:pStyle w:val="Heading2"/>
      </w:pPr>
      <w:r>
        <w:t>Erwägungen</w:t>
      </w:r>
    </w:p>
    <w:p>
      <w:r>
        <w:rPr>
          <w:b/>
        </w:rPr>
        <w:t>E. 3</w:t>
      </w:r>
    </w:p>
    <w:p>
      <w:r>
        <w:t>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b)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w:t>
      </w:r>
    </w:p>
    <w:p>
      <w:r>
        <w:t>- 7 - journalières de chômage (ATF 123 V 234 ; TF 8C_511/2014 du 19 août 2015 consid. 3.2). La jurisprudence est toutefois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 La situation est différente pour le débiteur en sursis concordataire, dès lors que celui-ci ne perd pas son pouvoir de décision sur les biens de son entreprise, le pouvoir en question étant seulement restreint en raison de la surveillance du commissaire au sursis. Le sursis concordataire laisse en effet une possibilité de réactiver l’entreprise, ce qui justifie la négation du droit à l’indemnité de chômage (Boris Rubin, Commentaire de la loi sur l’assurance-chômage, Zurich 2014, n° 31 ad art. 10 LACI ; DTA 2004 p. 193 ; Bulletin LACI IC, janvier 2021, B 26).</w:t>
      </w:r>
    </w:p>
    <w:p>
      <w:r>
        <w:t>- 8 -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 145 V 200 consid. 4.2 ; 122 V 270 consid. 3 ; TF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w:t>
      </w:r>
    </w:p>
    <w:p>
      <w:r>
        <w:rPr>
          <w:b/>
        </w:rPr>
        <w:t>E. 4</w:t>
      </w:r>
    </w:p>
    <w:p>
      <w:r>
        <w:t>En l’occurrence, durant toute la période litigieuse du 1er janvier au 16 février 2021, bien que le recourant ait été licencié par la société K.________ SA en sa qualité d’employé, avec effet au 31 décembre 2020, il demeurait actionnaire unique et administrateur de cette société, au</w:t>
      </w:r>
    </w:p>
    <w:p>
      <w:r>
        <w:t>- 9 - bénéfice de la signature individuelle. Conformément à la jurisprudence citée ci-avant (cf. consid. 3b et 3c), en sa qualité de membre du conseil d’administration d’une société anonyme, il occupait une position assimilable à celle d’un employeur, y compris après la décision du Président du Tribunal d’arrondissement de [...] accordant un sursis concordataire, désignant un commissaire au sursis et limitant son pouvoir décisionnel. Le recourant disposait en effet encore d’un pouvoir sur les biens de son entreprise, certes restreint en raison de la surveillance du commissaire au sursis, mais suffisant pour décider d’une reprise d’activité de la société. S’il est vrai que le recourant a par la suite effectivement démissionné de ses fonctions d’administrateur de K.________ SA, lors de l’assemblée générale extraordinaire du 6 mai 2021, comme de C.________ SA quelques semaines plus tard, cette démission est intervenue postérieurement à la décision sur opposition litigieuse et ne peut être prise en considération dans le présent arrêt. En définitive, c’est à bon droit que l’intimée a nié au recourant le droit à l’indemnité de chômage lors de son inscription en qualité de demandeur d’emploi, au motif qu’il occupait une position assimilable à celle d’un employeur.</w:t>
      </w:r>
    </w:p>
    <w:p>
      <w:r>
        <w:rPr>
          <w:b/>
        </w:rPr>
        <w:t>E. 5</w:t>
      </w:r>
    </w:p>
    <w:p>
      <w:r>
        <w:t>a) Vu ce qui précède, le recours doit être rejeté et la décision sur opposition litigieuse confirmée. b) Il n’y a pas lieu de percevoir de frais judiciaires (art. 61 let. f bis LPGA), ni d’allouer de dépens à la partie recourante, qui n’obtient pas gain de cause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