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ZQ21.010488 vom 28. Juni 2021</w:t>
      </w:r>
    </w:p>
    <w:p>
      <w:r>
        <w:t>VD Tribunal cantonal, 2021-06-28, FR</w:t>
      </w:r>
    </w:p>
    <w:p>
      <w:r>
        <w:rPr>
          <w:b/>
        </w:rPr>
        <w:t xml:space="preserve">Quelle: </w:t>
      </w:r>
      <w:r>
        <w:t>https://mcp.opencaselaw.ch/entscheid/vd_gerichte_ZQ21.010488</w:t>
      </w:r>
    </w:p>
    <w:p>
      <w:r>
        <w:t>FR: VD_GERICHTE ZQ21.010488 du 28 juin 2021</w:t>
      </w:r>
    </w:p>
    <w:p>
      <w:r>
        <w:t>IT: VD_GERICHTE ZQ21.010488 del 28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w:t>
      </w:r>
    </w:p>
    <w:p>
      <w:r>
        <w:t>- 7 -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et 110 V 48 consid. 4a in fine ; Ulrich Meyer/Isabel von Zwehl, L’objet du litige en procédure de droit administratif fédéral, in : Mélanges en l’honneur de Pierre Moor, Berne 2005, p. 443 ss.). b) En l’occurrence, il ressort de la décision sur opposition querellée que l’opposition formée le 23 décembre 2020 contre la décision du 6 octobre 2020 est tardive même si elle laisse en définitive la question ouverte avant de la rejeter pour des motifs tenant au fond du litige. Celui- ci porte sur le droit du recourant à des indemnités journalières de l’assurance-chômage, singulièrement sur la question de savoir si l’assuré peut se prévaloir d’une période de cotisation suffisante pour prétendre à de telles prestations. Est déterminante pour se prononcer à cet égard la date effective de la fin des rapports de travail entre l’assuré et H.________ SA. c) Conformément à l’art. 7.4 de la Convention collective pour les échafaudeurs suisses, conclue le 19 avril 2011 et dont la validité a été étendue jusqu’au 31 mai 2020 (cf. CCT étendues au niveau fédéral et cantonal [état au 1er juillet 2019], sur le site www.admin.ch consulté le 16 juin 2021), applicable au contrat conclu entre le recourant et H.________ SA</w:t>
      </w:r>
    </w:p>
    <w:p>
      <w:r>
        <w:t>- 8 - (cf. attestation de l’employeur complétée le 29 juin 2020), le délai de résiliation du contrat est interrompu en cas d’accident aussi longtemps que l’assurance-accidents obligatoire paie des indemnités journalières au travailleur assuré. Force est dès lors de constater que, en rendant la décision sur opposition litigieuse, l’intimée a non seulement fait fi de cette disposition mais également de celles régissant la fin des rapports de travail, telles que les art. 336c al. 2, 337 al. 3 et 337c CO (loi fédérale du 30 mars 1911 complétant le Code civil suisse [Livre cinquième : Droit des obligations] ; RS 220). C’est dès lors à juste titre que le recourant a estimé qu’il convenait de considérer, au titre de la période de cotisation au sens de l’art. 13 LACI, outre la période pendant laquelle il avait travaillé pour le compte de l’entreprise H.________ SA, celle pendant laquelle le contrat de travail ne pouvait être résilié par l’employeur, de même que la période de suspension du délai de congé subséquente, soit la période s’étendant du 9 septembre 2019 au 30 septembre 2020.</w:t>
      </w:r>
    </w:p>
    <w:p>
      <w:r>
        <w:rPr>
          <w:b/>
        </w:rPr>
        <w:t>E. 3</w:t>
      </w:r>
    </w:p>
    <w:p>
      <w:r>
        <w:t>Cela étant, le recours doit cependant être rejeté pour des motifs de nature formelle. a) A teneur de l’art. 52 al. 1 LPGA, les décisions peuvent être attaquées dans les trente jours par voie d’opposition auprès de l’assureur qui les a rendues, à l’exception des décisions d’ordonnancement de la procédure. b)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SVR 2009 UV n° 16 p. 62, 8C_210/2008 ; RAMA 1997 n° U 288 p. 442, U 263/96, consid. 2b). Lorsqu'il reçoit personnellement une communication de l'assureur social, l'assuré représenté est en droit de penser que celle-ci est aussi parvenue</w:t>
      </w:r>
    </w:p>
    <w:p>
      <w:r>
        <w:t>- 9 - à son représentant et qu'il peut s'abstenir d'agir personnellement (Ueli Kieser, ATSG-Kommentar, 4e édition 2020, n° 25 ad art. 37 LPGA). c) La notification irrégulière d'une décision ne doit entraîner aucun préjudice pour les parties (art. 49 al. 3, 3ème phrase, LPGA et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111 V 149 consid. 4c et les références citées ; TFA C 196/00 du 10 mai 2001 consid. 3a et les références citées, in DTA 2002 p. 65). Cela signifie notamment qu'une décision, fût-elle notifiée de manière irrégulière, peut entrer en force si elle n'est pas déférée au juge dans un délai raisonnable (TF I 982/06 du 17 juillet 2007, citant SJ 2000 I p. 118 consid. 4). d)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(TFA C 168/00 du 13 février 2001 consid. 3c, résumé in RSAS 2002 p. 509 ; TFA C 196/00 précité consid. 3a). Cette pratique a été confirmée, à la lumière de la CEDH (Convention européenne de sauvegarde des droits de l’homme et des libertés fondamentales du 4 novembre 1950 ; RS 0.101) et de la LPGA (TF 9C_85/2011 du 17 janvier 2012 consid. 6.2, 6.3 et 6.8).</w:t>
      </w:r>
    </w:p>
    <w:p>
      <w:r>
        <w:t>- 10 -</w:t>
      </w:r>
    </w:p>
    <w:p>
      <w:r>
        <w:rPr>
          <w:b/>
        </w:rPr>
        <w:t>E. 4</w:t>
      </w:r>
    </w:p>
    <w:p>
      <w:r>
        <w:t>a) Dans ses courriers datés des 23 décembre et 30 novembre 2020, le conseil du recourant a souligné avoir transmis à l’intimée, en date du 2 juillet 2020, une procuration justifiant de ses pouvoirs. Or elle avait notifié la décision du 6 octobre 2020 directement à son mandant et lui- même n’en avait eu connaissance qu’à la fin du mois de novembre 2020. Se fondant sur une jurisprudence citée par un auteur, il en déduisait qu’une notification effectuée en pareilles circonstances était de nul effet. b) Certes, la notification de la décision du 6 octobre 2020 directement au recourant, représenté par un conseil professionnel, est irrégulière. Toutefois, cette notification irrégulière n’est pas susceptible d’entraîner la nullité de cette décision. En effet, à lire les courriers des 30 novembre et 23 décembre 2020, il convient d’admettre que le recourant avait reçu dite décision dans les jours suivant le 6 octobre 2020 et que, même en tenant compte du délai de distribution du courrier B, le délai pour former opposition était échu à la date du 30 novembre 2020. A cela s’ajoute que, conformément à la jurisprudence, l’assuré aurait dû faire preuve de la diligence requise et informer son représentant de l’existence de la décision du 6 octobre 2020 dans un délai de 30 jours (TF 9C_741/2012 du 12 décembre 2012 consid. 2). L’assuré n’a vraisemblablement transmis l’information à son représentant qu’à la fin du mois de novembre 2020, puisque celui-ci s’est adressé le 30 novembre 2020 à la Caisse cantonale de chômage à F.________ pour l’informer de son intention de s’opposer à la décision du 6 octobre 2020 auprès de la Division juridique de la Caisse intimée. Il était raisonnablement exigible de sa part qu'il s'informât auprès de son représentant à ce propos. Conformément aux règles de la bonne foi, il ne pouvait pas simplement ignorer la décision et ne rien entreprendre pour la contester (TF 9C_85/2011 du 17 janvier 2012 consid. 6.2). On observera pour le surplus que le recourant n’allègue pas l’existence d’un retard dans l’envoi ou la réception de la décision du 6 octobre 2020. c) Sur le vu de ce qui précède, il convient de retenir le caractère tardif de l’opposition formée par le recourant le 23 décembre 2020 contre la décision du 6 octobre 2020.</w:t>
      </w:r>
    </w:p>
    <w:p>
      <w:r>
        <w:t>- 11 -</w:t>
      </w:r>
    </w:p>
    <w:p>
      <w:r>
        <w:rPr>
          <w:b/>
        </w:rPr>
        <w:t>E. 5</w:t>
      </w:r>
    </w:p>
    <w:p>
      <w:r>
        <w:t>a) En définitive, le recours, mal fondé, doit être rejeté et la décision sur opposition litigieuse confirmée. b) Il n’y a pas lieu de percevoir de frais judiciaires, la loi spéciale ne le prévoyant pas (art. 61 let. fbis LPGA), ni d’allouer de dépens, dès lors que le recourant n’obtient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