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ZQ21.007464 vom 7. Juni 2021</w:t>
      </w:r>
    </w:p>
    <w:p>
      <w:r>
        <w:t>VD Tribunal cantonal, 2021-06-07, FR</w:t>
      </w:r>
    </w:p>
    <w:p>
      <w:r>
        <w:rPr>
          <w:b/>
        </w:rPr>
        <w:t xml:space="preserve">Quelle: </w:t>
      </w:r>
      <w:r>
        <w:t>https://mcp.opencaselaw.ch/entscheid/vd_gerichte_ZQ21.007464</w:t>
      </w:r>
    </w:p>
    <w:p>
      <w:r>
        <w:t>FR: VD_GERICHTE ZQ21.007464 du 7 juin 2021</w:t>
      </w:r>
    </w:p>
    <w:p>
      <w:r>
        <w:t>IT: VD_GERICHTE ZQ21.007464 del 7 giugno 2021</w:t>
      </w:r>
    </w:p>
    <w:p>
      <w:pPr>
        <w:pStyle w:val="Heading2"/>
      </w:pPr>
      <w:r>
        <w:t>Erwägungen</w:t>
      </w:r>
    </w:p>
    <w:p>
      <w:r>
        <w:rPr>
          <w:b/>
        </w:rPr>
        <w:t>E. 5</w:t>
      </w:r>
    </w:p>
    <w:p>
      <w:r>
        <w:t>En l’espèce, le recourant soutient avoir donné suite à l’assignation de l’ORP du 12 août 2020 pour un emploi de vendeur, en postulant le jour-même par courrier électronique. Il a produit une impression d’écran sur laquelle apparaît le courrier électronique litigieux qu’il dit avoir envoyé à l’ORP et que ce dernier affirme n’avoir pas reçu. Au vu de la jurisprudence précitée (consid. 4c), la copie d’un courriel ne permet pas de prouver la remise de celui-ci à son destinataire. Il appartenait au recourant de demander un accusé de réception à l’ORP et, en l’absence de nouvelle dans un délai raisonnable, de s’enquérir de la suite de sa postulation auprès de l’ORP, ce qu’il n’a pas fait. Il n’a entrepris aucune démarche avant la réception de la lettre de l’ORP du 2 septembre 2020 l’invitant à se déterminer sur l’absence de postulation. Il s’ensuit que le recourant n’établit pas avoir postulé pour l’emploi qui lui avait été assigné, de sorte qu’il doit en supporter les conséquences au regard de la jurisprudence. Le fait de ne pas répondre à une assignation à postuler étant assimilé à un refus d’emploi, l’intimé était fondé à prononcer une suspension, étant précisé que rien au dossier ne</w:t>
      </w:r>
    </w:p>
    <w:p>
      <w:r>
        <w:t>- 8 - laisse apparaître que l’emploi auquel le recourant était assigné n’était pas convenable au sens de l’art. 16 al. 2 LACI, et que le recourant ne le soutient du reste pas.</w:t>
      </w:r>
    </w:p>
    <w:p>
      <w:r>
        <w:rPr>
          <w:b/>
        </w:rPr>
        <w:t>E. 6</w:t>
      </w:r>
    </w:p>
    <w:p>
      <w:r>
        <w:t>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b) En l’espèce, il n’existe aucun motif justifiant de s’éloigner de la présomption de l’art. 45 al. 4 let. b OACI, selon laquelle un refus d’emploi constitue une faute grave. En retenant une durée de suspension de trente et un jours, qui correspond au minimum légal prévu en cas de faute grave, l’intimé n’a pas abusé de son pouvoir d’appréciation, au vu également de la durée du contrat prévue, à savoir jusqu’au 28 février 2021 (cf. Bulletin LACI IC Secrétariat d’Etat à l’économie, D79/2.A). Il convient également de relever que le salaire qu’il aurait touché grâce à cet emploi, prévu pour un taux d’occupation entre 60 et 80 %, calculé selon la CCT, dépasse le montant des indemnités journalières qu’il percevait et l’aurait par conséquent fait</w:t>
      </w:r>
    </w:p>
    <w:p>
      <w:r>
        <w:t>- 9 - sortir du chômage. La suspension prononcée ne prête dès lors pas le flanc à la critique.</w:t>
      </w:r>
    </w:p>
    <w:p>
      <w:r>
        <w:rPr>
          <w:b/>
        </w:rPr>
        <w:t>E. 7</w:t>
      </w:r>
    </w:p>
    <w:p>
      <w:r>
        <w:t>a) En conclusion, le recours doit être rejeté et la décision sur opposition entreprise confirmée. b) Il n’y a pas lieu de percevoir de frais judiciaires, la loi spéciale, en l’occurrence la LACI, ne le prévoyant pas (art. 61 let. f bis LPGA), ni d’allouer de dépens, dès lors que le recourant n’obtient pas gain de cause (art. 61 let. g LPGA et 55 al. 1 LPA-VD). Par ces motifs, le juge unique p r o n o n c e : I. Le recours est rejeté. II. La décision sur opposition rendue le 29 janvier 2021 par le Service de l’emploi, Instance juridique chômage, est confirmée. III. Il n’est pas perçu de frais judiciaires, ni alloué de dépens. Le juge unique : La greffière : Du</w:t>
      </w:r>
    </w:p>
    <w:p>
      <w:r>
        <w:t>- 10 - L'arrêt qui précède est notifié à : - J.________,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