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ZQ21.005863 vom 15. Juli 2021</w:t>
      </w:r>
    </w:p>
    <w:p>
      <w:r>
        <w:t>VD Tribunal cantonal, 2021-07-15, FR</w:t>
      </w:r>
    </w:p>
    <w:p>
      <w:r>
        <w:rPr>
          <w:b/>
        </w:rPr>
        <w:t xml:space="preserve">Quelle: </w:t>
      </w:r>
      <w:r>
        <w:t>https://mcp.opencaselaw.ch/entscheid/vd_gerichte_ZQ21.005863</w:t>
      </w:r>
    </w:p>
    <w:p>
      <w:r>
        <w:t>FR: VD_GERICHTE ZQ21.005863 du 15 juillet 2021</w:t>
      </w:r>
    </w:p>
    <w:p>
      <w:r>
        <w:t>IT: VD_GERICHTE ZQ21.005863 del 15 luglio 2021</w:t>
      </w:r>
    </w:p>
    <w:p>
      <w:pPr>
        <w:pStyle w:val="Heading2"/>
      </w:pPr>
      <w:r>
        <w:t>Erwägungen</w:t>
      </w:r>
    </w:p>
    <w:p>
      <w:r>
        <w:rPr>
          <w:b/>
        </w:rPr>
        <w:t>E. 12</w:t>
      </w:r>
    </w:p>
    <w:p>
      <w:r>
        <w:t>juin 2020. Par ailleurs, l’intimé est d’avis que, quand bien même la Cour de céans ne resterait pas insensible au fait que le recourant déclare souffrir du « syndrome de la tourette » et que la présente procédure aggrave son état de santé, force est de constater qu’il n’était pas au bénéfice d’un certificat médical attestant une incapacité de travail totale au moment des faits reprochés. E n d r o i t :</w:t>
      </w:r>
    </w:p>
    <w:p>
      <w:r>
        <w:t>- 8 - 1.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valeur litigieuse étant inférieure à 30’000 fr. au vu du nombre de jours de suspension du droit aux indemnités de chômage, la cause est de la compétence d’un membre de la Cour des assurances sociales statuant en tant que juge unique (art. 94 al. 1 let. a LPA-VD). 2. Est litigieux le point de savoir si l’intimé était fondé à suspendre le recourant dans son droit à l’indemnité de chômage pour une durée de trente-et-un jours, au motif qu’il a refusé un emploi convenable. 3. a) Le droit à l’indemnité de chômage a pour corollaire un certain nombre de devoirs qui découlent de l’obligation générale des assurés de réduire le dommage (ATF 123 V 88 consid. 4c ; TFA [Tribunal fédéral des assurances] C 59/04 du 28 octobre 2005 consid. 2). En font notamment partie les prescriptions de contrôle et les instructions de l’office du travail prévues à l’art. 17 LACI (TF [Tribunal fédéral] C 208/06 du 3 août 2007 consid. 3). Entre autres obligations, l’assuré qui fait valoir des prestations d’assurance doit, avec l’assistance de l’office du travail</w:t>
      </w:r>
    </w:p>
    <w:p>
      <w:r>
        <w:t>- 9 - compétent, entreprendre tout ce qu’on peut raisonnablement exiger de lui pour éviter le chômage ou l’abréger (art. 17 al. 1, première phrase, LACI).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par la suspension de son droit à l’indemnité de chômage (TF C 208/06 précité consid. 3). b)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(TFA C 152/01 du 21 février 2002 consid. 4). c) Selon l’art. 30 al. 1 let. d LACI, le droit de l’assuré à l’indemnité est suspendu lorsqu’il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motif de la suspension prévu par cette disposition permet de sanctionner l’assuré non seulement en cas de faute grave, mais aussi en cas de négligence, même légère (Boris Rubin, Commentaire de la loi sur l’assurance-chômage, Genève/Zurich/Bâle 2014, n° 15 ad art. 30 LACI). L’assuré est donc tenu d’accepter tout travail convenable qui lui est proposé (art. 17 al. 3 LACI). La notion de travail convenable est définie a contrario à l’art. 16 al. 2 LACI. N’est notamment pas réputé</w:t>
      </w:r>
    </w:p>
    <w:p>
      <w:r>
        <w:t>- 10 - convenable au sens de cette disposition tout travail qui n’est pas conforme aux usages professionnels et locaux et, en particulier, ne satisfait pas aux conditions des conventions collectives ou des contrats-types de travail (let. a), ne tient pas raisonnablement compte des aptitudes de l’assuré ou de l’activité qu’il a précédemment exercée (let. b), ne convient pas à l’âge, à la situation personnelle ou à l’état de santé de l’assuré (let. c), nécessite un déplacement de plus de deux heures pour l’aller et de plus de deux heures pour le retour et qui n’offre pas de possibilités de logement appropriées au lieu de travail, ou qui, si l’assuré bénéficie d’une telle possibilité, ne lui permet pas de remplir ses devoirs envers ses proches qu’avec de notables difficultés (let. f), ou procure à l’assuré une rémunération inférieure à 70 % du gain assuré, sauf s’il touche des indemnités compensatoires conformément à l’art. 24 LACI (let. i, première phrase). Seuls les emplois ne répondant pas aux critères d’admissibilité mentionnés à l’art. 16 al. 2 LACI peuvent être refusés sans qu’il puisse y avoir de sanction (ATF 124 V 62 consid. 3b et les références citées). d) Les éléments constitutifs d’un refus d’emploi sont réunis non seulement en cas de refus d’emploi expressément formulé, mais aussi en cas de comportement assimilable à un refus d’emploi, notamment lorsque l’assuré pose certaines restrictions lors de la fixation du rendez- vous d’embauche (TF C 125/06 du 9 mars 2007), hésite à accepter immédiatement l’emploi lors des pourparlers, alors que selon les circonstances, il aurait pu faire cette déclaration (ATF 122 V 34 consid. 3b ; TF 8C_38/2011 du 14 décembre 2011 consid. 4 ; TF 8C_616/2010 du 28 mars 2011 consid. 3.2 ) ou encore fait échouer la conclusion du contrat par un comportement inadéquat (TFA C 81/05 du 29 novembre 2005 consid. 6.1). De même des manifestations peu claires, un manque d’empressement ou de motivation faisant douter de la réelle volonté du chômeur d’être engagé (TFA C 293/03 du 5 novembre 2004 consid. 2.3) constituent déjà des comportements assimilés par la jurisprudence à un refus d’emploi. Pour qu’une sanction soit justifiée, il doit donc exister une relation de causalité entre le comportement du chômeur et l’absence de conclusion d’un contrat de travail (Rubin, op. cit., n° 66 ad art. 30 LACI et les références citées).</w:t>
      </w:r>
    </w:p>
    <w:p>
      <w:r>
        <w:t>- 11 - 4. 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 126 V 353 consid. 5b ; 125 V 193 consid. 2 ; 121 V 45 consid. 2a et les références citées). La vraisemblance prépondérante suppose que, d’un point de vue objectif, des motifs importants plaident pour l’exactitude d’une allégation, sans que d’autres possibilités ne revêtent une importance significative ou n’entrent raisonnablement en considération (ATF 135 V 39 consid. 6.1 ; 126 V 353 consid. 5b). En droit des assurances sociales, il n’existe par conséquent pas de principe selon lequel l’administration ou le juge devrait statuer, dans le doute, en faveur de l’assuré (ATF 126 V 319 consid. 5a). b) Par ailleurs, la procédure est régie par le principe inquisitoire, selon lequel les faits pertinents de la cause doivent être constatés d’office par le juge. Ce principe n’est toutefois pas absolu. Sa portée est restreinte par le devoir des parties de collaborer à l’instruction de l’affaire (ATF 125 V 193 consid. 2 ;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130 I 180 consid. 3.2 ; 125 V 193 consid. 2 ; TF 9C_694/2014 du 1er avril 2015 consid. 3.2). 5. a) Le recourant conteste la suspension de son droit à l’indemnité de chômage au motif qu’il aurait refusé un emploi convenable. Il fait valoir en substance qu’il n’a pas de diplôme ni d’expérience dans le domaine de la logistique, ce qui aurait impliqué qu’il entreprenne une</w:t>
      </w:r>
    </w:p>
    <w:p>
      <w:r>
        <w:t>- 12 - nouvelle formation, alors que le poste litigieux était d’une durée limitée et que cette perspective accentuait les symptômes de son trouble neurologique. b) En l’espèce, on ne saurait suivre le recourant dans son argumentation pour les motifs qui suivent. ba) En premier lieu, contrairement à ce que le recourant soutient, il ressort clairement du profil du poste de logisticien litigieux tel que décrit dans l’assignation n° […] qu’aucun diplôme n’était requis, seule une compétence confirmée dans le domaine étant demandée. C’est d’ailleurs ce que la conseillère ORP de l’assuré a relevé dans le courriel qu’elle lui a adressé le 12 juin 2020, en précisant à l’assuré qu’au vu de l’expérience dont il disposait, il correspondait au profil. Il ressort d’ailleurs du dossier que, dans son dernier emploi, l’assuré a travaillé en qualité de magasinier pour une entreprise d’installation électrique. Il n’est par ailleurs nullement question d’une formation à entreprendre dans le domaine de la logistique pour occuper le poste en question. bb) En outre, s’il est vrai que l’assuré est au bénéfice d’un CFC d’installateur-électricien, il ressort toutefois du document intitulé « Stratégie de réinsertion », daté du 28 janvier 2020, que les objectifs de placement mentionnent non seulement des postes d’installateur- électricien, mais également des postes de logisticien. C’est d’ailleurs pour un tel poste que l’assuré a présenté sa candidature auprès de la société R.________ le 30 mai 2020, ce qui paraît pour le moins contradictoire avec ses arguments. bc) Par ailleurs, le fait que l’assignation concernait un contrat de durée déterminée est sans importance, dès lors que le salaire que le recourant aurait pu retirer de cet emploi aurait été considéré comme un gain intermédiaire, ce que le recourant ne pouvait ignorer dès lors que la conseillère ORP a joint à son courriel du 12 juin 2020 un document expliquant le système du gain intermédiaire et de l’indemnité compensatoire.</w:t>
      </w:r>
    </w:p>
    <w:p>
      <w:r>
        <w:t>- 13 - bd) Dans un autre grief, le recourant prétend que postuler pour l’emploi litigieux aurait accentué ses soucis de santé dans la mesure où il s’agit d’une activité différente de celle de magasinier, ce qui engendrait du stress et accentuait son atteinte neurologique. Il convient d’emblée de constater que le recourant n’a pas produit de certificat médical indiquant des limitations fonctionnelles incompatibles avec une activité de logisticien à 50 %. Il n’était pas non plus au bénéfice d’un certificat médical attestant son incapacité de travail au moment où il était censé postuler. A cela s’ajoute que, comme déjà mentionné, très peu de temps avant, soit le 30 mai 2020, le recourant a postulé pour un emploi de logisticien à 50 %. Enfin, la stratégie de réinsertion mise au point avec l’ORP en janvier 2020 mentionne comme objectifs de placement des postes de logisticien. be) Enfin, le recourant fait valoir qu’il ne savait pas qu’il pouvait être sanctionné s’il n’offrait pas ses services pour le poste litigieux. Or, l’assignation du 12 juin 2020 mentionne les conséquences d’un refus de postuler sous le titre « Avertissement ». A cela s’ajoute le fait que sa conseillère ORP l’a informé, dans son courriel du 12 juin 2020, qu’en sa qualité de demandeur d’emploi au bénéfice de l’indemnité de chômage depuis le 2 décembre 2019, il était tenu de tout mettre en œuvre pour retrouver un emploi, ce qui incluait des secteurs dans lesquels il disposait de compétences et dont on pouvait raisonnablement exiger qu’il travaille. c) En définitive, il y a donc lieu d’admettre que le recourant a refusé un emploi convenable au sens de l’art. 16 al. 2 LACI, étant relevé qu’aucun élément du dossier ne permet de conclure le contraire. Ce refus constitue une faute grave que l’intimé était légitimé à sanctionner. La suspension étant admise dans son principe, il reste à en examiner la quotité. 6. a) La durée de la suspension est proportionnelle à la faute et ne peut excéder, par motif de suspension, soixante jours (art. 30 al. 3</w:t>
      </w:r>
    </w:p>
    <w:p>
      <w:r>
        <w:t>- 14 - LACI). Selon l’art. 45 al. 3 OACI, la durée de la suspension est de un à quinze jours en cas de faute légère (let. a), de seize à trente jours en cas de faute de gravité moyenne (let. b) et de trente-et-un à soixante jours en cas de faute grave (let. c). Il y a faute grave, notamment, lorsque, sans motif valable, l’assuré refuse un emploi réputé convenable (art. 45 al. 4 let. b OACI). L’inobservation de l’obligation d’accepter un emploi convenable est considérée en principe comme une faute grave sanctionnée d’au minimum trente-et-un jours de suspension du droit à l’indemnité de chômage (DTA 1999 p. 136 ; Rubin, op. cit., n° 60 ad art. 30 LACI). Le Conseil fédéral a précisé que l’abandon d’un emploi convenable (art. 44 al. 1 let. b OACI) et le refus d’un emploi convenable (art. 30 al. 1 let. d LACI) constituaient des fautes graves (art. 45 al. 4 OACI). Il a ajouté que ces deux motifs de suspension ne devaient être qualifiés de fautes graves que si l’assuré ne pouvait pas faire valoir de motif valable. Cette précision laisse donc une certaine marge d’appréciation à l’autorité. Dès lors, même en cas d’abandon ou de refus d’emploi convenable, il est possible, exceptionnellement, de fixer un nombre de jours de suspension inférieur à trente-et-un jours, en présence de circonstances particulières, objectives ou subjectives. La question de savoir s’il existe des motifs valables relève du droit, étant précisé que les motifs de s’écarter de la faute grave doivent être admis restrictivement. Constituent notamment de telles circonstances le type d’activité proposée, le salaire offert et l’horaire de travail. En revanche, n’en constituent pas de faibles chances d’obtenir le poste assigné, le fait que l’inscription au chômage soit récente ou l’imprécision de la description du poste assigné (Rubin, op. cit., n° 117 ad art. 30 LACI et les références citées). b) En tant qu’autorité de surveillance, le Secrétariat d’Etat à l’économie (ci-après : le SECO) a adopté un barème (indicatif) à l’intention des organes d’exécution. Pour sanctionner un refus d’emploi convenable assigné à l’assuré d’une durée de 6 mois, les directives du SECO prévoient une suspension de trente-quatre à quarante-un jours (cf. Bulletin du SECO relatif à l’indemnité de chômage [Bulletin LACI IC], D79). Un tel barème</w:t>
      </w:r>
    </w:p>
    <w:p>
      <w:r>
        <w:t>- 15 -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8C_601/2012 du 26 février 2013 consid. 4.1, non publié in ATF 139 V 164 ; cf. par ex. DTA 2006 n° 20 p. 229 consid. 2 [C 285/05]). En revanche, la durée effective du chômage ne constitue pas un critère d’évaluation de la gravité de la faute (TF 8C_601/2012 précité consid. 4.1, non publié in ATF 139 V 164 et les références citées). c)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(ATF 137 V 71 consid. 5.1 ; TF 8C_33/2012 du 26 juin 2012 consid. 2.2 ; 8C_31/2007 du 25 septembre 2007 consid. 3.1, non publié in ATF 133 V 640 mais in SVR 2008 ALV n° 12 p. 35). d) En l’espèce, l’intimé a considéré que le comportement du recourant était passible d’une sanction pour faute grave, conformément à ce que prévoit l’art. 45 al. 4 let. b OACI en cas de refus d’un emploi réputé convenable sans motif valable. Cette qualification ne prête pas le flanc à la critique. La sanction de trente-et-un jours de suspension, qui correspond à la quotité minimale prévue par le barème du SECO en cas de premier refus d’un emploi convenable assigné, est conforme à la quotité minimale prévue par l’art. 45 al. 3 let. c OACI en cas de faute grave, étant précisé qu’en principe le refus d’un emploi convenable de durée déterminée de six mois est de trente-quatre jours au minimum. La sanction prononcée n’est</w:t>
      </w:r>
    </w:p>
    <w:p>
      <w:r>
        <w:t>- 16 - dès lors pas critiquable au vu des circonstances concrètes. Le recourant ne fait d’ailleurs valoir aucun élément qui permettrait d’atténuer le degré de la faute ou de considérer que la sanction de trente-et-un jours de suspension pour faute grave serait disproportionnée. En tout état de cause, les difficultés financières invoquées par le recourant – qu’il ne s’agit au demeurant pas de nier, ni de minimiser – ne constituent pas un motif justifiant de réduire la sanction en la fixant en dessous du minimum prévu par l’art. 45 al. 3 let. b OACI et le barème du SECO. En effet, selon la jurisprudence, il ne s’agit pas d’un critère à prendre en compte dans l’évaluation de la quotité de la sanction (TF C 21/05 du 26 septembre 2006 consid. 6 et la référence citée). Dans ces conditions, force est de constater que l’intimé n’a pas abusé de son pouvoir d’appréciation en retenant une durée de suspension de trente-et-un jours, qui ne peut être que confirmée. Il convient d’ailleurs de relever que, comme l’a expliqué l’intimé dans la décision dont est recours, lorsque la suspension est motivée par le refus de l'assuré de prendre un travail susceptible de lui procurer un gain intermédiaire, la jurisprudence considère que le droit à l'indemnité de chômage ne doit être suspendu que dans la mesure correspondant à la différence entre l'indemnité de chômage et les indemnités compensatoires (ATF 122 V 34 consid. 4c ; TF 8C_631/2008 consid. 3.3.1). Ainsi, en réalité le nombre de jours de suspension correspondra à la différence entre le montant de l’indemnité à laquelle l’intéressé a droit et celui de l’indemnité compensatoire qu’il aurait touchée compte tenu du gain intermédiaire par mois obtenu pour une activité lucrative à temps partiel (dans ce sens TF 8C_616/2010 du 28 mars 2011 et arrêt CASSO ACH 53/17 - 178/2017 ; Bulletin LACI IC janvier 2014 ch. D71a). Au final, la suspension de trente- et-un jours du droit à l’indemnité de chômage de l’assuré devra donc être réduite en fonction du dommage réel causé à l’assurance-chômage et ce, conformément à la jurisprudence, charge à la caisse de chômage du recourant de procéder au calcul définitif.</w:t>
      </w:r>
    </w:p>
    <w:p>
      <w:r>
        <w:t>- 17 - 7. a) En définitive, le recours, mal fondé, doit être rejeté et la décision sur opposition litigieuse confirmée. b) Il n’y a pas lieu de percevoir de frais judiciaires, la loi spéciale ne le prévoyant pas (art. 61 let. fbis LPGA), ni d’allouer de dépens, dès lors que le recourant n’obtient pas gain de cause (art. 61 let. g LPGA et 55 al. 1 LPA-VD). Par ces motifs, la juge unique p r o n o n c e : I. Le recours est rejeté. II. La décision sur opposition rendue le 13 janvier 2021 par le Service de l’emploi, Instance juridique chômage, est confirmée. III. Il n’est pas perçu de frais judiciaires ni alloué de dépens. La juge unique : La greffière : Du L'arrêt qui précède est notifié, par l'envoi de photocopies, à : - H.________, à C.________, - Service de l’emploi, Instance juridique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- 18 -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