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ZQ21.003359 vom 21. Mai 2021</w:t>
      </w:r>
    </w:p>
    <w:p>
      <w:r>
        <w:t>VD Tribunal cantonal, 2021-05-21, FR</w:t>
      </w:r>
    </w:p>
    <w:p>
      <w:r>
        <w:rPr>
          <w:b/>
        </w:rPr>
        <w:t xml:space="preserve">Quelle: </w:t>
      </w:r>
      <w:r>
        <w:t>https://mcp.opencaselaw.ch/entscheid/vd_gerichte_ZQ21.003359</w:t>
      </w:r>
    </w:p>
    <w:p>
      <w:r>
        <w:t>FR: VD_GERICHTE ZQ21.003359 du 21 mai 2021</w:t>
      </w:r>
    </w:p>
    <w:p>
      <w:r>
        <w:t>IT: VD_GERICHTE ZQ21.003359 del 21 maggio 2021</w:t>
      </w:r>
    </w:p>
    <w:p>
      <w:pPr>
        <w:pStyle w:val="Heading2"/>
      </w:pPr>
      <w:r>
        <w:t>Erwägungen</w:t>
      </w:r>
    </w:p>
    <w:p>
      <w:r>
        <w:rPr>
          <w:b/>
        </w:rPr>
        <w:t>E. 1</w:t>
      </w:r>
    </w:p>
    <w:p>
      <w:r>
        <w:t>[…].</w:t>
      </w:r>
    </w:p>
    <w:p>
      <w:r>
        <w:rPr>
          <w:b/>
        </w:rPr>
        <w:t>E. 2</w:t>
      </w:r>
    </w:p>
    <w:p>
      <w:r>
        <w:t>En l’espèce, pour la période mentionnée au point I, le montant des indemnités doit être de 7'620 au lieu de 10'134.55 car le montant de CHF 2'514.55 a été versé à tort lors de corrections dans le cadre de votre opposition.</w:t>
      </w:r>
    </w:p>
    <w:p>
      <w:r>
        <w:rPr>
          <w:b/>
        </w:rPr>
        <w:t>E. 3</w:t>
      </w:r>
    </w:p>
    <w:p>
      <w:r>
        <w:t>Pour ces motifs, la caisse doit vous demander la restitution de la somme de 2'514.55 (cf. annexes).</w:t>
      </w:r>
    </w:p>
    <w:p>
      <w:r>
        <w:rPr>
          <w:b/>
        </w:rPr>
        <w:t>E. 4</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b) En l’occurrence, le dossier est complet et permet à la Cour de céans de statuer, de sorte qu’il n’y a pas lieu de donner suite aux réquisitions du recourant tendant à l’audition de témoins.</w:t>
      </w:r>
    </w:p>
    <w:p>
      <w:r>
        <w:rPr>
          <w:b/>
        </w:rPr>
        <w:t>E. 5</w:t>
      </w:r>
    </w:p>
    <w:p>
      <w:r>
        <w:t>Il sied encore de relever que le recourant pourrait faire valoir que la restitution de la somme demandée le met dans une situation précaire lors d’une éventuelle demande de remise de l’obligation de restituer qu’il lui appartiendrait de présenter, le cas échéant, au plus tard 30 jours après l’entrée en force de la décision de restitution (art. 25 al. 1 LPGA et 4 OPGA [ordonnance du 11 septembre 2002 sur la partie générale du droit des assurances sociales ; RS 830.11]).</w:t>
      </w:r>
    </w:p>
    <w:p>
      <w:r>
        <w:rPr>
          <w:b/>
        </w:rPr>
        <w:t>E. 6</w:t>
      </w:r>
    </w:p>
    <w:p>
      <w:r>
        <w:t>a) En définitive, le recours doit être rejeté dans la mesure de sa recevabilité. b) En vertu de l’art. 61 let. f bis LPGA, entré en vigueur le 1er janvier 2021 et applicable en l’espèce, dans le cadre des litiges en matière de prestations, la procédure est soumise à des frais judiciaires si la loi spéciale le prévoit ; si ce n’est pas le cas, le tribunal peut en mettre à la charge de la partie qui agit de manière téméraire ou fait preuve de légèreté. Compte tenu de l’absence de disposition spéciale dans la LACI à cet égard, il ne sera pas perçu de frais judiciaires.</w:t>
      </w:r>
    </w:p>
    <w:p>
      <w:r>
        <w:t>- 12 - c) Il n’y a, par ailleurs, pas lieu d’allouer des dépens, dès lors que le recourant, au demeurant non représenté par un mandataire professionnel, n’obtient pas gain de cause (art. 61 let. g LPGA a contrario). Par ces motifs, la juge unique p r o n o n c e : I. Le recours est rejeté dans la mesure de sa recevabilité. II. La décision sur opposition rendue le 20 décembre 2020 par Y.________, est confirmée. III. Il n’est pas perçu de frais judiciaires, ni alloué de dépens. La juge unique : La greffière : Du L'arrêt qui précède est notifié à : - M. D.________, - Y.________,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