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ZQ20.049329 vom 31. März 2021</w:t>
      </w:r>
    </w:p>
    <w:p>
      <w:r>
        <w:t>VD Tribunal cantonal, 2021-03-31, FR</w:t>
      </w:r>
    </w:p>
    <w:p>
      <w:r>
        <w:rPr>
          <w:b/>
        </w:rPr>
        <w:t xml:space="preserve">Quelle: </w:t>
      </w:r>
      <w:r>
        <w:t>https://mcp.opencaselaw.ch/entscheid/vd_gerichte_ZQ20.049329</w:t>
      </w:r>
    </w:p>
    <w:p>
      <w:r>
        <w:t>FR: VD_GERICHTE ZQ20.049329 du 31 mars 2021</w:t>
      </w:r>
    </w:p>
    <w:p>
      <w:r>
        <w:t>IT: VD_GERICHTE ZQ20.049329 del 31 marzo 2021</w:t>
      </w:r>
    </w:p>
    <w:p>
      <w:pPr>
        <w:pStyle w:val="Heading2"/>
      </w:pPr>
      <w:r>
        <w:t>Erwägungen</w:t>
      </w:r>
    </w:p>
    <w:p>
      <w:r>
        <w:rPr>
          <w:b/>
        </w:rPr>
        <w:t>E. 1</w:t>
      </w:r>
    </w:p>
    <w:p>
      <w:r>
        <w:t>a) Sous réserve de dérogation expresse, les dispositions de la loi fédérale du 6 octobre 2000 sur la partie générale du droit des assurances sociales (LPGA; RS 830.1) s'appliquent à l'assurance-chômage obligatoire et à l’indemnité en cas d’insolvabilité (art. 1 al. 1 de la loi fédérale du 25 juin 1982 sur l'assurance-chômage obligatoire et l’indemnité en cas d’insolvabilité [LACI; RS 837.0]). Les décisions sur opposition et celles contre lesquelles la voie de l'opposition n'est pas</w:t>
      </w:r>
    </w:p>
    <w:p>
      <w:r>
        <w:t>- 5 -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Vu la valeur litigieuse inférieure à 30’000 fr., la cause est de la compétence du juge unique (art. 94 al. 1 let. a LPA-VD).</w:t>
      </w:r>
    </w:p>
    <w:p>
      <w:r>
        <w:rPr>
          <w:b/>
        </w:rPr>
        <w:t>E. 2</w:t>
      </w:r>
    </w:p>
    <w:p>
      <w:r>
        <w:t>Le litige porte sur le droit du recourant à une indemnité en cas d’insolvabilité en raison de la faillite de son employeur pour la période du</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et qu’ils ont, à ce moment-là, des créances de salaire envers lui. b)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c) D’après l’art. 53 al. 1 LACI, lorsque l'employeur a été déclaré en faillite, le travailleur doit présenter sa demande d'indemnisation à la caisse publique compétente à raison du lieu de</w:t>
      </w:r>
    </w:p>
    <w:p>
      <w:r>
        <w:t>- 6 - l'office des poursuites ou des faillites, dans un délai de 60 jours à compter de la date de la publication de la faillite dans la Feuille officielle suisse du commerce.</w:t>
      </w:r>
    </w:p>
    <w:p>
      <w:r>
        <w:rPr>
          <w:b/>
        </w:rPr>
        <w:t>E. 4</w:t>
      </w:r>
    </w:p>
    <w:p>
      <w:r>
        <w:t>a) En vertu de l'art. 55 al. 1, première phrase, LACI, le travailleur est tenu, dans la procédure de faillite ou de saisie, de prendre toutes les mesures propres à sauvegarder son droit envers l'employeur, jusqu'à ce que la caisse l'informe de la subrogation dans ladite procédure. b)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c)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(BORIS RUBIN, Commentaire de la loi sur l’assurance-chômage, Zurich 2014, n° 8 ad art. 55 et les références citées). L’assuré doit manifester de manière non équivoque et</w:t>
      </w:r>
    </w:p>
    <w:p>
      <w:r>
        <w:t>- 7 - reconnaissable pour l’employeur qu’il souhaite encaisser sa créance de salaire (RUBIN, op. cit., n° 10 ad art. 55). d)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e)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devaient être prises en considération dans ce contexte de sorte</w:t>
      </w:r>
    </w:p>
    <w:p>
      <w:r>
        <w:t>- 8 - que l’on ne saurait exclure d'emblée les solutions de compromis entre l'employeur et les travailleurs (TF C 91/01 du 4 septembre 2001 consid. 1b ; DTA 1999 n° 24 p. 143 consid. 1c).</w:t>
      </w:r>
    </w:p>
    <w:p>
      <w:r>
        <w:rPr>
          <w:b/>
        </w:rPr>
        <w:t>E. 5</w:t>
      </w:r>
    </w:p>
    <w:p>
      <w:r>
        <w:t>a) En l’occurrence, l’intimée a refusé de reconnaître le droit du recourant à une indemnité pour cause d’insolvabilité en considérant, d’une part, qu’il n’avait aucune créance salariale à faire valoir et, d’autre part, qu’il avait violé son obligation de diminuer son dommage. b) Le recourant a été engagé en qualité de manœuvre polyvalent par la société R.________, société active dans le domaine de la construction. A ce titre, celle-ci était obligatoirement soumise à la Convention nationale du secteur principal de la construction (art. 2 ; ci- après : la Convention nationale). Dans sa teneur applicable au moment des faits (2018), la Convention nationale prévoyait, pour un travailleur de la construction sans connaissances professionnelles, un salaire minimum de 4'548 fr. par mois ou de 25 fr. 85 par heure (art. 41), auquel s’ajoutait un 13e mois de salaire (art. 49) ; le total des heures de travail déterminant s’élevait à 2'112 heures (art. 24 al. 2). Aux termes du contrat de travail conclut par le recourant, celui-ci avait droit pour une activité exercée à 100 % à un salaire mensuel de 4'400 fr, sans droit à un 13e mois de salaire ; les durées journalière et hebdomadaire de travail n’étaient pas précisées. Il ressort par ailleurs des feuilles de salaire produites au dossier que l’employeur réduisait proportionnellement le salaire versé en fonction du nombre de jours effectivement œuvrés au cours du mois. A la vue de ces éléments, il apparaissait très clairement que les conditions salariales offertes par l’employeur du recourant n’étaient pas conformes aux dispositions de la Convention nationale et que, partant, le recourant disposait objectivement d’une créance de salaire à l’égard de son employeur. Le fait que le recourant se soit provisoirement accommodé du salaire offert par son employeur – probablement par méconnaissance de ses droits en la matière – importe à cet égard peu s’agissant de déterminer l’existence d’une créance de salaire.</w:t>
      </w:r>
    </w:p>
    <w:p>
      <w:r>
        <w:t>- 9 - c) Cela étant précisé, il convient ensuite d’examiner si le recourant a pris toutes les mesures propres à sauvegarder ses droits envers son ancien employeur conformément à l’art. 55 al. 1 LACI et s’il a ainsi respecté l’obligation générale qui lui incombe de diminuer le dommage. d) Pour répondre à la question de savoir s’il pouvait être exigé du recourant, comme le soutient l’intimée, qu’il entreprenne des démarches auprès de son employeur afin de régulariser la situation sur le plan salarial, il convient au préalable de se demander si le recourant était conscient que son employeur ne respectait pas les règles imposées par la Convention nationale. Aucun indice ne laisse à penser que tel était le cas. Au contraire, il ressort du dossier qu’il s’agissait du premier emploi du recourant en Suisse, de sorte qu’il n’avait très vraisemblablement pas connaissance des subtilités de la législation applicable à son contrat de travail. Il avait par ailleurs signé un contrat de travail dont le texte avait été rédigé en français, langue qu’il ne maîtrisait pas ainsi que l’atteste la présence d’un traducteur au cours des audiences de la juridiction prud’homale. Quant aux modalités de rémunération proposées par l’employeur, elle pouvait à première vue apparaître logique et raisonnable, en tant que le salaire versé était au final proportionnel à l’activité effectivement déployée. Au vu des circonstances, on ne saurait par conséquent reprocher au recourant d’avoir agi tardivement pour sauvegarder ses droits envers son employeur. e) Après la résiliation des rapports de travail, il y a lieu de constater que les démarches destinées à recouvrer la part impayée des salaires qui étaient dus au recourant n’ont pas été accomplies dans les limites temporelles généralement admises pour considérer qu’il aurait satisfait à son obligation de diminuer le dommage. Il convient en premier lieu de relever que plus de quatre mois se sont écoulés avant que le Syndicat Unia n’adresse à R.________ la mise en demeure du 9 juillet 2018, puis à nouveau huit mois avant qu’une requête en conciliation (du 4 avril 2019) ne soit déposée devant le Tribunal de Prud’hommes de l’arrondissement de l’Est vaudois. Rien ne laisse à penser – le dossier ne</w:t>
      </w:r>
    </w:p>
    <w:p>
      <w:r>
        <w:t>- 10 - contient aucun indice en ce sens – que d’autres démarches auraient été entreprises afin de sauvegarder les droits du recourant envers son ancien employeur et recouvrer les sommes qui lui étaient dues. L’absence de réaction du recourant durant d’aussi longues périodes n’est pas admissible au regard de la jurisprudence et doit, partant, entraîner la perte du droit à l'indemnité en cas d'insolvabilité. f) Partant, c’est à juste titre que l’intimée a refusé l’octroi des prestations d’insolvabilité requises par le recourant.</w:t>
      </w:r>
    </w:p>
    <w:p>
      <w:r>
        <w:rPr>
          <w:b/>
        </w:rPr>
        <w:t>E. 6</w:t>
      </w:r>
    </w:p>
    <w:p>
      <w:r>
        <w:t>a) En définitive, le recours, mal fondé, doit être rejeté et la décision sur opposition litigieuse confirmée. b) Il n’y a pas lieu de percevoir de frais judiciaires, la procédure étant gratuite (art. 61 let. a LPGA, applicable dans sa teneur en vigueur jusqu’au 31 décembre 2020 conformément à l’art. 83 LPGA), ni d’allouer de dépens, dès lors que le recourant n’obtient pas gain de cause (art. 61 let. g LPGA). Par ces motifs, le juge unique p r o n o n c e : I. Le recours est rejeté. II. La décision sur opposition rendue le 11 novembre par la Caisse cantonale de chômage, division juridique, est confirmée. III. Il n’est pas perçu de frais judiciaires, ni alloué de dépens. Le juge unique : Le greffier :</w:t>
      </w:r>
    </w:p>
    <w:p>
      <w:r>
        <w:t>- 11 - Du L'arrêt qui précède est notifié à : - Syndicat Unia, à Sierre, pour le recourant, - la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