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ZQ20.046203 vom 28. April 2021</w:t>
      </w:r>
    </w:p>
    <w:p>
      <w:r>
        <w:t>VD Tribunal cantonal, 2021-04-28, FR</w:t>
      </w:r>
    </w:p>
    <w:p>
      <w:r>
        <w:rPr>
          <w:b/>
        </w:rPr>
        <w:t xml:space="preserve">Quelle: </w:t>
      </w:r>
      <w:r>
        <w:t>https://mcp.opencaselaw.ch/entscheid/vd_gerichte_ZQ20.046203</w:t>
      </w:r>
    </w:p>
    <w:p>
      <w:r>
        <w:t>FR: VD_GERICHTE ZQ20.046203 du 28 avril 2021</w:t>
      </w:r>
    </w:p>
    <w:p>
      <w:r>
        <w:t>IT: VD_GERICHTE ZQ20.046203 del 28 aprile 2021</w:t>
      </w:r>
    </w:p>
    <w:p>
      <w:pPr>
        <w:pStyle w:val="Heading2"/>
      </w:pPr>
      <w:r>
        <w:t>Erwägungen</w:t>
      </w:r>
    </w:p>
    <w:p>
      <w:r>
        <w:rPr>
          <w:b/>
        </w:rPr>
        <w:t>E. 6</w:t>
      </w:r>
    </w:p>
    <w:p>
      <w:r>
        <w:t>La suspension étant fondée dans son principe, il reste à en examiner la quotité. a) En vertu de l'art. 30 al. 3 LACI, la durée de la suspension est proportionnelle à la gravité de la faute et ne peut excéder, par motif de suspension, soixante jours. Elle est de un à quinze jours en cas de faute légère, de seize à trente jours en cas de faute de gravité moyenne et de trente-et-un à soixante jours en cas de faute grave (art. 45 al. 3 let. a à c OACI). L'obligation d'accepter un emploi convenable constitue une obligation fondamentale pour qui demande l'indemnité de chômage (art.</w:t>
      </w:r>
    </w:p>
    <w:p>
      <w:r>
        <w:t>- 11 - 17 al. 3, première phrase, LACI ; Rubin, Assurance-chômage, précité, p. 402). Son inobservation est considérée comme une faute grave et conduit à la suspension du droit à l’indemnité pour une durée de trente-et-un à soixante jours (art. 30 al. 1 let. d LACI en corrélation avec l'art. 45 al. 4 let. b OACI), à moins que l'assuré ne puisse se prévaloir de circonstances laissant apparaître la faute comme étant de gravité moyenne ou légère (ATF 130 V 125 ; TF 8C_225/2011 du 9 mars 2012 consid. 4.2 et TF 8C_616/2010 du 28 mars 2011 consid. 3.2). Dès lors, même en cas de refus d'emploi, il est possible, exceptionnellement, de fixer un nombre de jours de suspension inférieur à trente-et-un jours en présence de circonstances particulières, objectives ou subjectives. La question de savoir s’il existe des motifs valables relève du droit, étant précisé que les motifs justifiant de s’écarter de la faute grave doivent être admis restrictivement. Le Secrétariat d'Etat à l'économie (SECO) a établi des barèmes relatifs aux sanctions applicables, dont les tribunaux font régulièrement application. Le barème du SECO prévoit, en cas de refus d'un emploi convenable ou d'un gain intermédiaire à durée indéterminée assigné à l'assuré ou qu'il a trouvé lui-même, une suspension de trente-et-un à quarante-cinq jours lors du premier manquement (cf. Bulletin LACI IC / D79 2.B/1). Enfin, le juge des assurances sociales ne peut, sans motif pertinent, substituer son appréciation à celle de l’administration ; il doit s’appuyer sur des circonstances de nature à faire apparaître sa propre appréciation comme la mieux appropriée (ATF 137 V 71 consid. 5.2 ; 126 V 75 consid. 6 ; 123 V 150 consid. 2 ; TF 8C_775/2012 du 29 novembre 2012 consid. 3.3 ; TF 9C_377/2009 du 20 janvier 2010 consid. 4.2). c) En l’espèce, l’intimée a qualifié la faute commise de grave. Quant à la durée de la suspension, fixée à trente-et-un jours, elle correspond au minimum légal prévu en cas de faute grave (art. 45 al. 3 let. c OACI) et à celui prévu par le barème du SECO en cas de premier manquement (cf. Bulletin LACI IC / D79 2.B/1). Il n’y a pas lieu de retenir</w:t>
      </w:r>
    </w:p>
    <w:p>
      <w:r>
        <w:t>- 12 - de circonstances atténuantes pouvant légitimer une réduction de la durée de suspension. En effet, les motifs permettant de s’écarter de la faute grave devant être admis restrictivement, il ne convient pas de considérer que le simple fait de subir une baisse conséquente de son salaire fasse apparaître la faute comme étant de gravité moyenne ou légère. Compte tenu du pouvoir d’appréciation de l’intimée en la matière, il n’existe quoi qu’il en soit aucun motif justifiant de réduire la sanction en la fixant en dessous du minimum prévu par l’art. 45 al. 3 let. c OACI.</w:t>
      </w:r>
    </w:p>
    <w:p>
      <w:r>
        <w:rPr>
          <w:b/>
        </w:rPr>
        <w:t>E. 7</w:t>
      </w:r>
    </w:p>
    <w:p>
      <w:r>
        <w:t>a) En définitive, le recours de T.________, mal fondé, doit être rejeté. Partant, la décision sur opposition du 29 octobre 2020 est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 Par ces motifs, le juge unique p r o n o n c e : I. Le recours est rejeté. II. La décision sur opposition rendue le 29 octobre 2020 par la Caisse N.________, est confirmée. III. Il n’est pas perçu de frais judiciaires, ni alloué de dépens. Le juge unique : La greffière :</w:t>
      </w:r>
    </w:p>
    <w:p>
      <w:r>
        <w:t>- 13 - Du L'arrêt qui précède est notifié à : - T.________, - Caisse N.________,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