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ZQ20.045290 vom 7. April 2021</w:t>
      </w:r>
    </w:p>
    <w:p>
      <w:r>
        <w:t>VD Tribunal cantonal, 2021-04-07, FR</w:t>
      </w:r>
    </w:p>
    <w:p>
      <w:r>
        <w:rPr>
          <w:b/>
        </w:rPr>
        <w:t xml:space="preserve">Quelle: </w:t>
      </w:r>
      <w:r>
        <w:t>https://mcp.opencaselaw.ch/entscheid/vd_gerichte_ZQ20.045290</w:t>
      </w:r>
    </w:p>
    <w:p>
      <w:r>
        <w:t>FR: VD_GERICHTE ZQ20.045290 du 7 avril 2021</w:t>
      </w:r>
    </w:p>
    <w:p>
      <w:r>
        <w:t>IT: VD_GERICHTE ZQ20.045290 del 7 aprile 2021</w:t>
      </w:r>
    </w:p>
    <w:p>
      <w:pPr>
        <w:pStyle w:val="Heading2"/>
      </w:pPr>
      <w:r>
        <w:t>Erwägungen</w:t>
      </w:r>
    </w:p>
    <w:p>
      <w:r>
        <w:rPr>
          <w:b/>
        </w:rPr>
        <w:t>E. 20</w:t>
      </w:r>
    </w:p>
    <w:p>
      <w:r>
        <w:t>décembre 2019 et le 24 décembre 2020. Il ajoute que son maintien au sein du conseil d’administration de la société avait été fictif durant cette période. Dans sa duplique du 4 février 2021, l’intimée a admis qu’à partir du lendemain de sa démission avec effet immédiat du conseil d’administration et la vente de ses actions le 24 décembre 2020, le recourant n’occupait plus une position assimilable à celle d’un employeur.</w:t>
      </w:r>
    </w:p>
    <w:p>
      <w:r>
        <w:t>- 5 - Elle maintient en revanche sa position pour la période antérieure courant du 1er avril 2020 au 24 décembre 2020. De son côté, le recourant s’est encore déterminé le 19 février 2021. Pour la période précédant sa démission du conseil d’administration, il réfute tout risque de contournement de la loi (réduction de l’horaire de travail ou réengagement) pour tenter d’obtenir des indemnités chômage. Il rappelle que, durant la période en question, la société ne l’a pas rémunéré et qu’il n’y a eu aucun conseil d’administration, de sorte que de facto un risque d’abus était inexistant. Il prétend en outre que le litige l’opposant à son ancien employeur est « le seul responsable du délai de [sa] démission du conseil d’administration ». Dans ces circonstances, il maintient avoir droit aux indemnités litigieuses depuis le 1er avril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2. Le litige porte sur le droit du recourant à des indemnités chômage du 1er avril 2020 au 24 décembre 2020. Il s’agit plus particulièrement de savoir si durant cette période, pendant laquelle il a été inscrit au registre du commerce comme administrateur avec signature collective à deux, il a occupé une position dirigeante au sein de la société. 3. a) Aux termes de l’art. 8 LACI, l’assuré a droit à l’indemnité de chômage s’il remplit, de manière cumulative, les conditions fixées à l’alinéa premier de cette disposition. La jurisprudence considère qu’un travailleur qui jouit d’une situation comparable à celle d’un employeur – ou son conjoint – n’a pas droit à l’indemnité de chômage (art. 8 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ATF 123 V 234 consid. 7b/bb ; TF 8C_448/2018 du 30 septembre 2019 consid. 3). b)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qui disposent ex lege</w:t>
      </w:r>
    </w:p>
    <w:p>
      <w:r>
        <w:t>- 7 - (art. 716 à 716b CO [loi fédérale du 30 mars 1911 complétant le Code civil suisse ; RS 220]) et de façon contraignante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 des associés, respectivement des associés gérants lorsqu’il en a été désigné, lesquels occupent collectivement une position comparable à celle du conseil d’administration d’une société anonyme (ATF 145 V 200 consid. 4.2 et 4.5 ; TF 8C_171/2012 du 11 avril 2013 consid. 6.1 et les références). Ainsi,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 BORIS RUBIN, Commentaire de la loi sur l’assurance-chômage, Genève/Zurich/Bâle 2014, n. 41 ad art. 31 LACI). c)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w:t>
      </w:r>
    </w:p>
    <w:p>
      <w:r>
        <w:t>- 8 - conserver une influence sur la perte de travail qu’elles subissent (ATF 123 V 234 consid. 7b/bb ; TF 8C_1004/2010 du 29 juin 2011 consid. 5.2). 4. En l’occurrence, si le recourant a été licencié le 20 décembre 2019 pour le 31 mars 2020, il a en revanche conservé sa qualité de membre du conseil d’administration de la société T.________ SA jusqu’au</w:t>
      </w:r>
    </w:p>
    <w:p>
      <w:r>
        <w:rPr>
          <w:b/>
        </w:rPr>
        <w:t>E. 24</w:t>
      </w:r>
    </w:p>
    <w:p>
      <w:r>
        <w:t>décembre 2020. Ce n’est en effet qu’à cette date qu’il a démissionné de cette fonction avec effet immédiat. Qu’il ait été en litige avec son ancien employeur ou même qu’il ait déposé plainte pénale à l’encontre de deux coadministrateurs, certes majoritaires, ne change rien au fait que l’intéressé gardait la possibilité d’influencer le fonctionnement de l’entreprise (cf. consid. 3b supra). Au demeurant, le fait qu’il prétende justement ne pas avoir démissionné immédiatement du conseil d’administration de la société uniquement pour garder la possibilité d’accéder aux comptes de la société lui permettant d’obtenir les informations relatives à la valeur réelle de ses actions, démontre au contraire qu’il conservait potentiellement un pouvoir sur la marche de la société. Ce lien que le recourant a ainsi laissé subsister jusqu’en décembre 2020, lui permettait, au demeurant de garder une potentielle influence sur le processus de décision de la société. Dès lors, le risque d’abus que représente le versement d’indemnités chômage au recourant qui gardait une position dirigeante en refusant de démissionner du conseil d’administration, suffit en soi, d’après la jurisprudence rappelée ci-avant (cf. consid. 3c supra), à exclure son droit à l’indemnité chômage pour toute la période requise. Dans ces circonstances, il n’est au demeurant pas relevant qu’aucun réengagement ne se soit produit jusqu’à la démission du recourant du conseil d’administration. En effet, la situation doit être examinée telle qu’elle se présentait au moment où la décision a été rendue. Or à ce moment-là, un risque d’abus existait et le recourant ne réunissait donc pas toutes les conditions dont dépend le droit à l’indemnité de chômage telles qu’énumérées à l’art. 8 LACI (cf. consid. 3a supra), de sorte que la décision attaquée était parfaitement fondée.</w:t>
      </w:r>
    </w:p>
    <w:p>
      <w:r>
        <w:t>- 9 - 5. a) En définitive, le recours doit être rejeté et la décision attaquée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