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ZQ20.044263 vom 10. März 2021</w:t>
      </w:r>
    </w:p>
    <w:p>
      <w:r>
        <w:t>VD Tribunal cantonal, 2021-03-10, FR</w:t>
      </w:r>
    </w:p>
    <w:p>
      <w:r>
        <w:rPr>
          <w:b/>
        </w:rPr>
        <w:t xml:space="preserve">Quelle: </w:t>
      </w:r>
      <w:r>
        <w:t>https://mcp.opencaselaw.ch/entscheid/vd_gerichte_ZQ20.044263</w:t>
      </w:r>
    </w:p>
    <w:p>
      <w:r>
        <w:t>FR: VD_GERICHTE ZQ20.044263 du 10 mars 2021</w:t>
      </w:r>
    </w:p>
    <w:p>
      <w:r>
        <w:t>IT: VD_GERICHTE ZQ20.044263 del 10 marzo 2021</w:t>
      </w:r>
    </w:p>
    <w:p>
      <w:pPr>
        <w:pStyle w:val="Heading2"/>
      </w:pPr>
      <w:r>
        <w:t>Volltext</w:t>
      </w:r>
    </w:p>
    <w:p>
      <w:r>
        <w:t>TRIBUNAL CANTONAL ACH 121/20 - 31/2021 ZQ20.044263 CO UR DE S ASSURANCES S OCIALES _____________________________________________ Arrêt du 10 mars 2021 __________________ Composition : M. PIGUET, juge unique Greffier : M. Addor ***** Cause pendante entre : HARMONIE D.________, à F.________, recourante, et SERVICE DE L’EMPLOI, Instance juridique chômage, à Lausanne, intimé. _______________ Art. 53 al. 3 LPGA 403</w:t>
      </w:r>
    </w:p>
    <w:p>
      <w:r>
        <w:t>- 2 - E n f a i t e t e n d r o i t : Vu la décision du 11 mai 2020, confirmée sur opposition le 12 octobre 2020, par laquelle le Service de l’emploi a rejeté la demande d’indemnité en cas de réduction de l’horaire de travail déposée le 29 mars 2020 par l’Harmonie D.________, vu le recours interjeté le 10 novembre 2020 contre la décision sur opposition du 12 octobre 2020 devant la Cour des assurances sociales du Tribunal cantonal, concluant principalement au versement de l’indemnité en cas de réduction de l’horaire de travail et subsidiairement au renvoi de la cause au Service de l’emploi pour nouvelle décision au sens des considérants, vu la décision de reconsidération rendue le 16 février 2021 par le Service de l’emploi, annulant et remplaçant la décision sur opposition du 12 octobre 2020, par laquelle ledit service a partiellement admis l’opposition et réformé la décision du 11 mai 2020 en ce sens qu’il a reconnu le droit à l’indemnité en cas de réduction de l’horaire de travail pour la période du 17 mars au 31 août 2020, pour autant que les autres conditions du droit fussent remplies, vu le courrier de l’Harmonie D.________ du 3 mars 2021 informant la Cour de céans que le recours était devenu sans objet, vu les pièces au dossier ; attendu que le recours, déposé en temps utile, est recevable à la forme (art. 60 et 61 let. b LPGA [loi fédérale du 6 octobre 2000 sur la partie générale du droit des assurances sociales ; RS 830.1]), qu’à teneur de l’art. 53 al. 3 LPGA, l’assureur peut, jusqu’à l’envoi de son préavis à l’autorité de recours, reconsidérer une décision ou une décision sur opposition contre laquelle un recours a été formé,</w:t>
      </w:r>
    </w:p>
    <w:p>
      <w:r>
        <w:t>- 3 - qu’en l’espèce, l’intimé a fait usage de cette faculté en rendant le 16 février 2021 une décision de reconsidération, par laquelle il a annulé et remplacé la décision du 12 octobre 2020, que cette nouvelle décision fait droit aux conclusions de la recourante, qu’il y a lieu de prendre acte de la reconsidération opérée par l’intimé et de constater que la cause est devenue sans objet, qu’il se justifie de rayer la cause du rôle, compétence que l’art. 94 al. 1 let. c LPA-VD (loi cantonale vaudoise du 28 octobre 2008 sur la procédure administrative ; BLV 173.36) attribue à un membre de la Cour des assurances sociales du Tribunal cantonal, statuant en tant que juge unique ; attendu que la présente décision est rendue sans frais (art. 61 let. a LPGA), que, bien qu’obtenant gain de cause, la recourante n’a pas droit à l’octroi de dépens ou d’une indemnité de partie dès lors qu’elle n’est pas représentée en justice et que les efforts déployés dans le cadre de la présente procédure ne dépassent pas la mesure de ce que tout un chacun consacre à la gestion courante de ses affaires personnelles (ATF 127 V 205 consid. 4b). Par ces motifs, le juge unique p r o n o n c e : I. La cause, devenue sans objet, est rayée du rôle. II. Il n’est pas perçu de frais judiciaires ni alloué de dépens.</w:t>
      </w:r>
    </w:p>
    <w:p>
      <w:r>
        <w:t>- 4 - Le juge unique : Le greffier : Du L'arrêt qui précède est notifié à : - Harmonie D.________,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