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ZQ20.040726 vom 8. April 2021</w:t>
      </w:r>
    </w:p>
    <w:p>
      <w:r>
        <w:t>VD Tribunal cantonal, 2021-04-08, FR</w:t>
      </w:r>
    </w:p>
    <w:p>
      <w:r>
        <w:rPr>
          <w:b/>
        </w:rPr>
        <w:t xml:space="preserve">Quelle: </w:t>
      </w:r>
      <w:r>
        <w:t>https://mcp.opencaselaw.ch/entscheid/vd_gerichte_ZQ20.040726</w:t>
      </w:r>
    </w:p>
    <w:p>
      <w:r>
        <w:t>FR: VD_GERICHTE ZQ20.040726 du 8 avril 2021</w:t>
      </w:r>
    </w:p>
    <w:p>
      <w:r>
        <w:t>IT: VD_GERICHTE ZQ20.040726 del 8 aprile 2021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Compte comme mois de cotisation chaque mois civil entier durant lequel l’assuré est tenu de cotiser (art. 11 al. 1 OACI [ordonnance fédérale du 31 août 1983 sur l’assurance-chômage obligatoire et l’indemnité en cas d’insolvabilité ; RS 837.02]). Les périodes</w:t>
      </w:r>
    </w:p>
    <w:p>
      <w:r>
        <w:t>- 12 - de cotisation qui n’atteignent pas un mois civil entier sont additionnées, trente jours étant réputés constituer un mois de cotisation (art. 11 al. 2 OACI). Il est possible de cumuler des périodes de cotisation au sens de l’art. 13 al. 1 LACI, des périodes assimilées à des périodes de cotisation au sens de l’art. 13 al. 2 LACI, ainsi que des périodes pour lesquelles l’assuré a touché une indemnité de vacances (art. 11 al. 3 OACI). Pour la conversion d’une journée de travail, on utilise le facteur 1,4 (soit cinq jours ouvrables pour sept jours civils ; cf. ATF 122 V 249 consid. 2c ; TF 8C_645/2015 du 3 juillet 2015 consid. 1.1). b) En l’espèce, la période de cotisation à comptabiliser en lien avec la période d’emploi réalisée par le recourant au service de l’entreprise [...] Ltd s’étend du 1er juin 2019 au 31 mai 2020, soit douze mois complets, de sorte que l’assuré peut justifier d’une période de cotisation suffisante.</w:t>
      </w:r>
    </w:p>
    <w:p>
      <w:r>
        <w:rPr>
          <w:b/>
        </w:rPr>
        <w:t>E. 6</w:t>
      </w:r>
    </w:p>
    <w:p>
      <w:r>
        <w:t>a) En définitive, le recours, bien-fondé, doit être admis et la décision sur opposition litigieuse annulée, sous suite de renvoi à l’intimée pour examen des autres conditions du droit à l’indemnité de chômage, prévues à l’art. 8 al. 1 LACI. b) Il n'est pas perçu de frais de justice, la procédure étant gratuite (cf. art. 61 let. a LPGA), ni alloué de dépens, le recourant n’étant pas représenté par un mandataire professionnel (cf. 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