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ZQ20.011885 vom 15. Dezember 2020</w:t>
      </w:r>
    </w:p>
    <w:p>
      <w:r>
        <w:t>VD Tribunal cantonal, 2020-12-15, FR</w:t>
      </w:r>
    </w:p>
    <w:p>
      <w:r>
        <w:rPr>
          <w:b/>
        </w:rPr>
        <w:t xml:space="preserve">Quelle: </w:t>
      </w:r>
      <w:r>
        <w:t>https://mcp.opencaselaw.ch/entscheid/vd_gerichte_ZQ20.011885</w:t>
      </w:r>
    </w:p>
    <w:p>
      <w:r>
        <w:t>FR: VD_GERICHTE ZQ20.011885 du 15 décembre 2020</w:t>
      </w:r>
    </w:p>
    <w:p>
      <w:r>
        <w:t>IT: VD_GERICHTE ZQ20.011885 del 15 dicembre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indemnités journalières de l’assurance-chômage à compter du 20 décembre 2019, plus particulièrement sur le fait de savoir si elle occupait une position assimilable à un employeur dans la société [...] Sàrl en liquidation.</w:t>
      </w:r>
    </w:p>
    <w:p>
      <w:r>
        <w:rPr>
          <w:b/>
        </w:rPr>
        <w:t>E. 3</w:t>
      </w:r>
    </w:p>
    <w:p>
      <w:r>
        <w:t>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w:t>
      </w:r>
    </w:p>
    <w:p>
      <w:r>
        <w:t>- 5 -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8C_171/2012 du 11 avril 2013 consid. 6.3). b)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 8C_642/2015 du</w:t>
      </w:r>
    </w:p>
    <w:p>
      <w:r>
        <w:rPr>
          <w:b/>
        </w:rPr>
        <w:t>E. 6</w:t>
      </w:r>
    </w:p>
    <w:p>
      <w:r>
        <w:t>septembre 2016 consid. 3.2). En particulier, lorsqu’il s’agit de déterminer quelle est la possibilité effective d’un dirigeant d’influencer le processus de décision de l’entreprise, il convient de prendre en compte les rapports internes existant dans l’entreprise (TF 8C_1044/2008 du 13 février 2009 consid. 3.2.1).</w:t>
      </w:r>
    </w:p>
    <w:p>
      <w:r>
        <w:t>- 6 -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8C_515/2007 du 8 avril 2008 consid. 2.2 in fine). Dans ces cas, le droit est nié même si, dans les faits, les personnes concernées ne s’occupent pas des affaires de la société (TF 8C_776/2011 du 14 novembre 2012 consid. 3.3.1).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Elle exclut de considérer qu’un assuré a définitivement quitté son ancienne entreprise en raison de la fermeture de celle-ci tant qu’elle n’est pas entrée en liquidation (TF 8C_511/2014 du 19 août 2015 consid. 5.1 ; 8C_172/2013 du 23 janvier 2014 consid. 3.2 ; 8C_1016/2012 du 19 août 2013 consid. 4.3 et les références ; TFA C 355/00 du 28 mars 2001 consid. 3 in DTA 2001 p. 218), voire, selon les circonstances, pendant la durée de la procédure de liquidation. Parmi les circonstances dans lesquelles il faut exclure qu’un assuré a quitté définitivement son ancienne entreprise même pendant la</w:t>
      </w:r>
    </w:p>
    <w:p>
      <w:r>
        <w:t>- 7 - durée de la procédure de liquidation de la société, il y a notamment lieu de mentionner le cas de l’assuré qui exerce la fonction de liquidateur (TF 8C_738/2015 du 14 septembre 2016 consid. 3.1 ; TFA C 267/04 du 3 avril 2006 consid. 4.2 in DTA 2007 n° 6 p. 115).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4. a) La recourante soutient qu’elle s’est retrouvée dans la situation d’une salariée à la position assimilable à celle d’un employeur qui quitte définitivement l’entreprise en question pour cause de fermeture de celle-ci. Elle fait en outre valoir que dite fermeture est définitive puisque la société est entrée en liquidation et produit à l’appui de ses explications un document du 13 mars 2020 établi par l’Office des poursuites du district de [...], établissant l’existence à cette date de poursuites pour un montant total de 55’310 fr. 40 et d’actes de défaut de biens pour 50’994 fr. 25. Elle considère ainsi qu’une reprise d’activité de la société et son réengagement peuvent être exclus. Elle allègue encore que le fait que la faillite de l’entreprise n’ait pas encore été prononcée s’explique, d’une part, pour des raisons fiscales et, d’autre part, en raison de la suspension des activités principales des offices de poursuites et faillites durant la période de la pandémie. Elle produit également un lot de pièces démontrant qu’elle recherche activement un emploi. L’intimée estime, quant à elle, que la recourante n’a pas prouvé, au degré de la vraisemblance prépondérante, qu’elle a définitivement quitté son ancienne société en raison de la liquidation de celle-ci. A cet égard, l’intimée s’appuie sur une jurisprudence (TF 8C_481/2020 du 15 février 2011 consid. 4.2) selon laquelle, pendant la procédure de dissolution d’une société, passer du statut d’associé gérant à celui de liquidateur a pour effet de maintenir la personne concernée dans</w:t>
      </w:r>
    </w:p>
    <w:p>
      <w:r>
        <w:t>- 8 - le cercle des personnes qui fixent les décisions de l’employeur ou qui les influent de manière déterminante. De ce fait, elle n’a pas droit à l’indemnité de chômage pendant qu’elle occupe la fonction de liquidateur, étant précisé que la procédure de liquidation prend fin avec la radiation de l’entreprise au registre du commerce. b) En l’espèce, force est de constater qu’au moment où la décision sur opposition a été rendue, soit le 2 mars 2020, la recourante était encore inscrite au registre du commerce en qualité d’associée gérante liquidatrice avec signature individuelle. Ainsi, la jurisprudence relative au statut d’associée liquidatrice lui est applicable. Or, comme rappelé ci-dessus, le statut d’associé liquidateur succédant à celui de gérant d’une société à responsabilité limitée a pour effet de maintenir l’intéressé dans le cercle des personnes qui fixent les décisions de l’employeur ou les influencent de manière déterminante. De ce chef, il n’a pas droit à l’indemnité, ce que la jurisprudence a d’ailleurs déjà admis dans des affaires analogues concernant des liquidateurs (cf. consid. 3c supra). Il apparaît en l’occurrence qu’en sa qualité de liquidatrice, la recourante demeure chargée de la gestion et de la représentation de la société en liquidation, avec pouvoir d’accomplir tous les actes entrant dans le cadre du but de liquidation, y compris le cas échéant de nouvelles opérations, voire une réinscription. Au demeurant, la fermeture du magasin n’est pas décisive dans le cas d’espèce, dès lors que le but social de la société [...] Sàrl en liquidation n’empêche pas l’exploitation d’autres établissements. La recourante se fonde en particulier sur un arrêt TF 8C_511/2014 du 19 août 2015 consid. 5.1 pour soutenir que l’intimée aurait dû retenir qu’elle avait définitivement quitté son entreprise en raison de la fermeture de celle-ci puisqu’elle était entrée en liquidation. Or, dans l’arrêt en question, il est fait référence à une société qui a été déclarée en faillite – ce qui n’est pas le cas en l’espèce – et dont dite faillite a été suspendue faute d’actifs, si bien que l’on peut, dans cette situation, partir du principe qu’il ne reste plus rien à liquider et qu’il n’y a, par conséquent, aucun risque d’abus. La situation de la recourante diffère</w:t>
      </w:r>
    </w:p>
    <w:p>
      <w:r>
        <w:t>- 9 - de celle de l’arrêt précité, en ce sens que la société a été dissoute par décision de l’assemblée des associés du 11 décembre 2019, soit dans les faits par décision unilatérale de la recourante, étant l’unique associée qui détient l’entier des parts sociales. La société n’a ainsi pas fait l’objet d’une procédure de faillite. A cet égard, le fait que des poursuites aient été introduites, de même que des actes de défaut de biens délivrés, à l’encontre de la société ne remet pas en cause le constat selon lequel la recourante, en qualité d’associée gérante liquidatrice, se trouve en position d’influencer de manière déterminante les décisions de dite société. Il en va de même des recherches d’emploi effectuées par la recourante. Enfin, le fait que la société soit entrée en liquidation ne permet pas, comme on l’a vu, de retenir que la recourante a définitivement quitté l’entreprise, dès lors que celle-ci conserve un pouvoir décisionnel au sein de dite entreprise. Seule une radiation de l’inscription au registre du commerce permettrait de l’attester. Ainsi, le risque d’abus ne peut, à ce stade, être écarté. c) Partant, il y a lieu de confirmer que l’intimée était légitimée à refuser, par décision sur opposition du 2 mars 2020, l’octroi d’indemnités de chômage à la recourante à partir du 20 décembre 2019. 5. a) Le recours, mal fondé, doit par conséquent être rejeté. b) Il n’y a pas lieu de percevoir de frais judiciaires, la procédure étant gratuite (art. 61 let. a LPGA), ni d’allouer de dépens, dès lors que la recourante n’obtient pas gain de cause (art. 61 let. g LPGA). c) Par décision de la Juge instructrice du 9 avril 2020, la recourante a été mise au bénéfice de l’assistance judiciaire avec effet au 24 mars 2020 et a obtenu à ce titre la commission d’un avocat d’office en la personne de Me Benjamin Schwab. Celui-ci a produit une liste d’opérations le 18 septembre 2020, dont il ressort qu’il a consacré</w:t>
      </w:r>
    </w:p>
    <w:p>
      <w:r>
        <w:rPr>
          <w:b/>
        </w:rPr>
        <w:t>E. 8</w:t>
      </w:r>
    </w:p>
    <w:p>
      <w:r>
        <w:t>heures et 10 minutes de travail dans le cadre de son mandat. Les opérations étant justifiées, l’indemnité de Me Schwab est arrêtée à 1'470 fr. (180 fr. x 8h10). La liste produite comprend également des débours. Il</w:t>
      </w:r>
    </w:p>
    <w:p>
      <w:r>
        <w:t>- 10 - convient toutefois sur ce dernier point d’appliquer le forfait de 5 % du défraiement hors taxe (art. 3bis al. 1 RAJ [règlement cantonal du 7 décembre 2010 sur l’assistance judiciaire en matière civile ; BLV 211.02.3]). Au final, le montant de l’indemnité de Me Schwab est arrêté à 1’662 fr. 35 ([1'470 fr. + 73 fr. 50 [1'470 fr. x 5%] + 118 fr. 85 [1'543 fr. 50 x 7.7%]), débours et TVA compris. d) La rémunération de l’avocat d’office est provisoirement assumée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