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ZQ19.057416 vom 13. März 2020</w:t>
      </w:r>
    </w:p>
    <w:p>
      <w:r>
        <w:t>VD Tribunal cantonal, 2020-03-13, FR</w:t>
      </w:r>
    </w:p>
    <w:p>
      <w:r>
        <w:rPr>
          <w:b/>
        </w:rPr>
        <w:t xml:space="preserve">Quelle: </w:t>
      </w:r>
      <w:r>
        <w:t>https://mcp.opencaselaw.ch/entscheid/vd_gerichte_ZQ19.057416</w:t>
      </w:r>
    </w:p>
    <w:p>
      <w:r>
        <w:t>FR: VD_GERICHTE ZQ19.057416 du 13 mars 2020</w:t>
      </w:r>
    </w:p>
    <w:p>
      <w:r>
        <w:t>IT: VD_GERICHTE ZQ19.057416 del 13 marzo 2020</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d OACI [ordonnance fédérale du 31 août 1983 sur l’assurance-chômage obligatoire et l’indemnité en cas d’insolvabilité ; RS 837.02], applicable par renvoi de l’art. 128 al. 1 OACI), dans les trente jours suivant la notification de la décision sujette à recours (art. 60 al. 1 LPGA). Dans le cas présent, le recours a été formé en temps utile, compte tenu des féries de Noël (art. 38 al. 4 let. c et 60 al. 2 LPGA) et dans le respect des formalités prévues par la loi (art. 61 let. b LPGA notamment), de sorte qu’il est recevable. Il y a donc lieu d’entrer en matière. b) La loi cantonale vaudoise du 28 octobre 2008 sur la procédure administrative (LPA-VD ; BLV 173.36) s’applique aux recours et contestations par voie d’action dans le domaine des assurances sociales (art. 2 al. 1 let. c LPA-VD). La Cour des assurances sociales du Tribunal cantonal est compétente pour statuer (art. 93 let. a LPA-VD). Vu la valeur litigieuse inférieure à 30'000 fr., la cause est de la compétence du magistrat instructeur statuant en tant que juge unique (art. 94 al. 1 let. a LPA-VD).</w:t>
      </w:r>
    </w:p>
    <w:p>
      <w:r>
        <w:t>- 5 -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et 110 V 48 consid. 4a ; RCC 1985 p. 53). b) Le litige porte sur le droit du recourant à une indemnité en cas d'insolvabilité, singulièrement sur le caractère tardif ou non du dépôt de la demande.</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1bis). En principe l'indemnité en cas d'insolvabilité ne couvre que des créances de salaire qui portent sur un travail réellement fourni (ATF 132 V 82 consid. 3.1 et 125 V 492 consid. 3b ; Boris Rubin, Commentaire</w:t>
      </w:r>
    </w:p>
    <w:p>
      <w:r>
        <w:t>- 6 - de la loi sur l’assurance-chômage, Genève/Zurich/Bâle 2014, n. 7 ad art. 52 p. 429) et non pas des prétentions en raison d'un congédiement du travailleur par l’employeur, laissant subsister un droit au salaire ou à une indemnité (ATF 121 V 377 ; 114 V 56 consid. 4 ; 111 V 269 consid. 1b et 110 V 30).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[Tribunal fédéral] 8C_541/2009 du 19 novembre 2009 consid. 5). Le délai de 60 jours prévu par l’art. 53 al. 1 LACI commence à courir le lendemain de la date de publication dans la Feuille officielle suisse du commerce (Rubin, op. cit., n. 9 ad art. 53 p. 434). En vertu de l’art. 77 al. 1 OACI, l'assuré qui prétend à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w:t>
      </w:r>
    </w:p>
    <w:p>
      <w:r>
        <w:t>- 7 - c) Le délai d’exercice du droit est en corrélation étroite avec chaque motif d’insolvabilité de l’employeur susceptible d’ouvrir un droit à l’indemnité. Une prétention périmée à une indemnité en cas d’insolvabilité ne renaît pas lors de la survenance d’un nouveau cas d’insolvabilité de l’employeur (ATF 126 V 139 consid. 3d p. 141 ; 123 V 106 ; TFA C 273/04 du 13 juillet 2005 consid. 3.2). Par exemple, les créances de salaire antérieures au dépôt d’une réquisition de saisie ne peuvent plus faire l’objet de la prétention éventuelle née ensuite de l’ouverture de la faillite. De même, si une faillite est prononcée après homologation d’un sursis concordataire, un droit à l’indemnité non utilisé au moment de cette homologation, ou qui n’a pas été exercée en temps utile, ne reprend pas naissance à l’occasion de la faillite (Rubin, op. cit., n. 3 ad art. 53 p. 433). Le délai de l’art. 53 al. 3 LACI est un délai de fond (de droit matériel), de nature péremptoire (ATF 123 V 106 consid. 2a ; TFA [Tribunal fédéral des assurances] C 118/00 du 26 septembre 2000 ; Rubin, op. cit., n. 12 ad art. 53 p. 435), toutefois sujet à restitution lorsque l’assuré a été empêché sans sa faute d’agir à temps (ATF 131 V 454 consid. 3.1 et les références citées ; cf. art. 41 LPGA).</w:t>
      </w:r>
    </w:p>
    <w:p>
      <w:r>
        <w:rPr>
          <w:b/>
        </w:rPr>
        <w:t>E. 4</w:t>
      </w:r>
    </w:p>
    <w:p>
      <w:r>
        <w:t>En l’espèce, la faillite de Z.________ a été prononcée avec effet au 21 novembre 2017. Le délai pour effectuer l’avance de frais était échu le 2 février 2018 et la faillite, suspendue faute d’actif, a été clôturée le 13 février 2018 et publiée dans la FOSC le 20 février 2018. Le délai de l’art. 53 al. 1 LACI a commencé à courir le lendemain et a ainsi expiré le 61ème jour du délai. Dès lors, la demande d’indemnité présentée par le recourant le 18 juillet 2019 était manifestement tardive de sorte que son droit à la prestation sollicitée était périmé, étant précisé que l’intéressé n’a pas fait valoir de motif de restitution du délai. Contrairement à ce qu’allègue le recourant, la saisie à l'encontre de J.________ pour un montant de 26'848 fr. 15 avec délivrance d'un acte de défaut de biens ne permet pas d'ouvrir un nouveau droit à une indemnité en cas d'insolvabilité. Il importe dès lors peu que le recourant ait présenté sa demande d’indemnisation dans le délai de 60</w:t>
      </w:r>
    </w:p>
    <w:p>
      <w:r>
        <w:t>- 8 - jours dès l’exécution de la saisie de J.________. En effet, la créance de salaire invoquée dans le cadre de la réquisition de saisie ne peut se rapporter qu’à une période antérieure à l’ouverture de la faillite de Z.________, si bien qu’elle ne peut faire l’objet d’une prétention éventuelle née ensuite de la réquisition de saisie auprès du titulaire de la raison individuelle. En d’autres termes, le recourant ne saurait se prévaloir d’un droit à l’indemnité à l’occasion de la saisie, faute d’avoir utilisé ce droit au moment de la faillite ou de l’avoir exercé en temps utile. On rappellera qu'il suffit, selon l'art. 74 OACI, de rendre la créance de salaire plausible pour obtenir le versement de l'indemnité. En cas de doute, il appartenait au recourant de se renseigner sur les démarches à entreprendre du point de vue de l’assurance-chômage suite à la faillite de Z.________.</w:t>
      </w:r>
    </w:p>
    <w:p>
      <w:r>
        <w:rPr>
          <w:b/>
        </w:rPr>
        <w:t>E. 5</w:t>
      </w:r>
    </w:p>
    <w:p>
      <w:r>
        <w:t>a) En définitive, le recours, mal fondé, doit être rejeté, ce qui entraîne la confirmation de la décision sur opposition litigieuse. b) Il n’y a pas lieu de percevoir de frais judiciaires, la procédure étant gratuite (art. 61 let. a LPGA), ni d’allouer de dépens, dès lors que le recourant n’obtient pas gain de cause (art. 61 let. g LPGA). c) Le recourant a été mis au bénéfice de l’assistance judiciaire et a obtenu, à ce titre, la commission d’un avocat d’office en la personne de Me Raphaël Hämmerli. Conformément à l'art. 2 al. 1 RAJ (règlement cantonal du</w:t>
      </w:r>
    </w:p>
    <w:p>
      <w:r>
        <w:rPr>
          <w:b/>
        </w:rPr>
        <w:t>E. 7</w:t>
      </w:r>
    </w:p>
    <w:p>
      <w:r>
        <w:t>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En l’espèce, Me Hämmerli a produit sa liste des opérations le 4 mars 2020, comprenant 8 heures et 30 minutes de travail effectuées au</w:t>
      </w:r>
    </w:p>
    <w:p>
      <w:r>
        <w:t>- 9 - tarif horaire de 180 fr. pour un avocat. A la lecture du détail des opérations, on constate que la durée prévue pour certaines d’entre elles est inhabituellement élevée et ne se justifie pas par la difficulté de la cause, en particulier pour ce qui est de l’analyse du dossier, des recherches juridiques et la rédaction du recours (4 heures et 48 minutes), dès lors que Me Hämmerli représentait déjà l’assuré dans le cadre de la procédure administrative. En outre, la durée pour trois correspondances au W.________ aboutissant à l’obtention d’une attestation RI (revenu d’insertion) ne peut sans autre être retenue. Il en va de même des opérations concernant le recourant (téléphone au client, préparation de l’entretien avec le client, entretien avec le client, correspondance explicative au client). Les opérations doivent au final être réduites à 6 heures pour le travail effectué. S’agissant des débours, il convient d’appliquer le forfait de 5 % du défraiement hors taxe (art. 3bis al. 1 RAJ). L’indemnité du conseil d’office sera ainsi fixée à 1’221 fr. 30, soit 1’080 fr. d’honoraires d’avocat (6 heures x 180 fr.), 54 fr. de débours (5 %) et 87 fr. 30 de TVA.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Par ces motifs, la juge unique p r o n o n c e : I. Le recours est rejeté. II. La décision sur opposition rendue le 15 novembre 2019 par la Caisse cantonale de chômage, Division juridique, est confirmée.</w:t>
      </w:r>
    </w:p>
    <w:p>
      <w:r>
        <w:t>- 10 - III. Il n’est pas perçu de frais judiciaires ni alloué de dépens. IV. L’indemnité d’office de Me Raphaël Hämmerli est arrêtée à 1'221 fr. 30 (mille deux cent vingt-et-un francs et trente centimes), débours et TVA compris. V. Le bénéficiaire de l’assistance judiciaire est, dans la mesure de l’art. 123 CPC, applicable par renvoi de l’art. 18 al. 5 LPA-VD, tenu au remboursement de l’indemnité du conseil d’office mise à la charge de l’Etat. La juge unique : La greffière : Du L'arrêt qui précède est notifié à : - Me Raphaël Hämmerli, avocat à Yverdon-les-Bains (pour le recourant),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