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ZQ19.046299 vom 5. März 2020</w:t>
      </w:r>
    </w:p>
    <w:p>
      <w:r>
        <w:t>VD Tribunal cantonal, 2020-03-05, FR</w:t>
      </w:r>
    </w:p>
    <w:p>
      <w:r>
        <w:rPr>
          <w:b/>
        </w:rPr>
        <w:t xml:space="preserve">Quelle: </w:t>
      </w:r>
      <w:r>
        <w:t>https://mcp.opencaselaw.ch/entscheid/vd_gerichte_ZQ19.046299</w:t>
      </w:r>
    </w:p>
    <w:p>
      <w:r>
        <w:t>FR: VD_GERICHTE ZQ19.046299 du 5 mars 2020</w:t>
      </w:r>
    </w:p>
    <w:p>
      <w:r>
        <w:t>IT: VD_GERICHTE ZQ19.046299 del 5 marzo 2020</w:t>
      </w:r>
    </w:p>
    <w:p>
      <w:pPr>
        <w:pStyle w:val="Heading2"/>
      </w:pPr>
      <w:r>
        <w:t>Erwägungen</w:t>
      </w:r>
    </w:p>
    <w:p>
      <w:r>
        <w:rPr>
          <w:b/>
        </w:rPr>
        <w:t>E. 6</w:t>
      </w:r>
    </w:p>
    <w:p>
      <w:r>
        <w:t>La suspension étant admise dans son principe, il reste à 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 L’inobservation de l’obligation d’accepter un emploi convenable est considérée en principe comme une faute grave sanctionnée d’au minimum 31 jours de suspension du droit à l’indemnité de chômage (DTA 1999 p. 136 ; Rubin, op. cit., n° 60 ad art. 30 LACI).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31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w:t>
      </w:r>
    </w:p>
    <w:p>
      <w:r>
        <w:t>- 11 - revanche, n’en constituent pas de faibles chances d’obtenir le poste assigné, le fait que l’inscription au chômage soit récente ou l’imprécision de la description du poste assigné (Rubin, op. cit., n° 117 ad art. 30 LACI et les références citées). b) En tant qu’autorité de surveillance, le Secrétariat d’Etat à l’économie (ci-après : le SECO) a adopté un barème (indicatif) à l’intention des organes d’exécution. Pour sanctionner un refus d’emploi convenable assigné à l’assuré, les directives du SECO prévoient une suspension de 31 à 45 jours en cas de premier refus (cf. Bulletin du SECO relatif à l’indemnité de chômage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[C 285/05]).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d) En l’espèce, l’intimé a considéré que le comportement de la recourante était passible d’une sanction pour faute grave, conformément à ce que prévoit l’art. 45 al. 4 let. b OACI en cas de refus d’un emploi</w:t>
      </w:r>
    </w:p>
    <w:p>
      <w:r>
        <w:t>- 12 - réputé convenable sans motif valable. Cette qualification ne prête pas le flanc à la critique. La sanction de trente-et-un jours de suspension, qui correspond à la quotité minimale prévue par le barème du SECO en cas de premier refus d’un emploi convenable assigné, est conforme à la quotité minimale prévue par l’art. 45 al. 3 let. c OACI en cas de faute grave. Elle n’est au demeurant pas critiquable au vu des circonstances concrètes. La recourante ne fait d’ailleurs valoir aucun élément pertinent qui permettrait d’atténuer le degré de la faute ou de constater que la sanction de trente- et-un jours de suspension pour faute grave était disproportionnée. Enfin, si le fait de prendre au sérieux ses obligations de chômeur est une circonstance pertinente pour fixer la durée de la suspension, elle ne constitue pas pour autant un motif pour refuser un travail convenable. Dans ces conditions, force est de constater que l’intimé n’a pas abusé de son pouvoir d’appréciation en retenant une durée de suspension de trente-et-un jours, qui ne peut être que confirmée.</w:t>
      </w:r>
    </w:p>
    <w:p>
      <w:r>
        <w:rPr>
          <w:b/>
        </w:rPr>
        <w:t>E. 7</w:t>
      </w:r>
    </w:p>
    <w:p>
      <w:r>
        <w:t>a) En définitive, le recours doit être rejeté et la décision sur opposition litigieuse confirmée. b) Il n’y a pas lieu de percevoir de frais judiciaires, la procédure étant gratuite (art. 61 let. a LPGA), ni d’allouer de dépens, dès lors que la recourante, au demeurant non assistée d’un mandataire professionnel, n’obtient pas gain de cause (art. 61 let. g LPGA). Par ces motifs, la juge unique p r o n o n c e : I. Le recours est rejeté. II. La décision sur opposition rendue le 24 septembre 2019 par le Service de l'emploi, Instance juridique chômage, est confirmée.</w:t>
      </w:r>
    </w:p>
    <w:p>
      <w:r>
        <w:t>- 13 - III. Il n’est pas perçu de frais judiciaires, ni alloué de dépens. La juge unique : La greffière :</w:t>
      </w:r>
    </w:p>
    <w:p>
      <w:r>
        <w:t>- 14 - Du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