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ZQ19.023795 vom 19. Dezember 2019</w:t>
      </w:r>
    </w:p>
    <w:p>
      <w:r>
        <w:t>VD Tribunal cantonal, 2019-12-19, FR</w:t>
      </w:r>
    </w:p>
    <w:p>
      <w:r>
        <w:rPr>
          <w:b/>
        </w:rPr>
        <w:t xml:space="preserve">Quelle: </w:t>
      </w:r>
      <w:r>
        <w:t>https://mcp.opencaselaw.ch/entscheid/vd_gerichte_ZQ19.023795</w:t>
      </w:r>
    </w:p>
    <w:p>
      <w:r>
        <w:t>FR: VD_GERICHTE ZQ19.023795 du 19 décembre 2019</w:t>
      </w:r>
    </w:p>
    <w:p>
      <w:r>
        <w:t>IT: VD_GERICHTE ZQ19.023795 del 19 dicembre 2019</w:t>
      </w:r>
    </w:p>
    <w:p>
      <w:pPr>
        <w:pStyle w:val="Heading2"/>
      </w:pPr>
      <w:r>
        <w:t>Erwägungen</w:t>
      </w:r>
    </w:p>
    <w:p>
      <w:r>
        <w:rPr>
          <w:b/>
        </w:rPr>
        <w:t>E. 1</w:t>
      </w:r>
    </w:p>
    <w:p>
      <w:r>
        <w:t>Nous avons une grande expérience dans les situations de burn- out.</w:t>
      </w:r>
    </w:p>
    <w:p>
      <w:r>
        <w:rPr>
          <w:b/>
        </w:rPr>
        <w:t>E. 2</w:t>
      </w:r>
    </w:p>
    <w:p>
      <w:r>
        <w:t>Le litige porte sur le point de savoir si l’intimée était fondée à prononcer une suspension du droit à l’indemnité de la recourante pour une durée de 31 jours au motif qu’elle portait une responsabilité dans la perte de son emploi.</w:t>
      </w:r>
    </w:p>
    <w:p>
      <w:r>
        <w:rPr>
          <w:b/>
        </w:rPr>
        <w:t>E. 3</w:t>
      </w:r>
    </w:p>
    <w:p>
      <w:r>
        <w:t>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et 126 V 130 consid. 1). Aux termes de l'art. 30 al. 1 let. a LACI, le droit de l'assuré à l'indemnité est suspendu lorsqu'il est établi que celui-ci est sans travail par sa propre faute. Est notamment réputé sans travail par sa propre faute, selon l'art. 44 al. 1 let. b OACI, l'assuré qui a résilié lui-même le contrat de</w:t>
      </w:r>
    </w:p>
    <w:p>
      <w:r>
        <w:t>- 10 - travail, sans avoir été préalablement assuré d'obtenir un autre emploi, sauf s'il ne pouvait être exigé de lui qu'il conservât son ancien emploi.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sur l’ensemble de la question, voir Boris Rubin, Assurance-chômage et service public de l’emploi, Genève/Zurich/Bâle 2019, n. 499 ss, p. 104).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citée). En revanche, on ne saurait exiger d’un travailleur qu’il garde son emploi s’il peut se prévaloir d’un motif de résiliation immédiate au sens de l’art. 337 CO (loi fédérale du 30 mars 1911 complétant le code civil suisse [livre cinquième : Droit des obligations], RS 220 ; TF 8C_285/2013 du 11 février 2014 consid. 4.1 ; Rubin, op. cit., n. 504 p. 105). L’exigibilité de la continuation des rapports de travail est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w:t>
      </w:r>
    </w:p>
    <w:p>
      <w:r>
        <w:t>- 11 - personnelle protégée par l’alinéa 2 lettre c de cette disposition (âge, situation personnelle, santé) (Rubin, Commentaire de la loi sur l’assurance-chômage, Genève/Zurich/Bâle 2014, n. 37 ad art. 30 LACI). Un assuré qui entend se prévaloir d’un motif de santé pour quitter ou refuser un poste de travail doit en principe fournir un certificat médical circonstancié, reposant sur une analyse clinique et technique, indiquant précisément quelles activités sont contre-indiquées. Pour avoir force probante, le certificat médical ne doit en principe pas avoir été établi trop longtemps après la survenance de l’empêchement (ATF 124 V 234 consid. 4b ; TFA C 60/05 du 18 avril 2006 consid. 6 ; Rubin, op. cit., n. 37 ad art. 16 LACI). La compatibilité d’un emploi avec l’état de santé s'apprécie non pas par rapport à ce que pourrait ressentir un assuré mais sur la base de certificats médicaux (TFA C 151/03 du 3 octobre 2003 consid. 2.3.2 et la référence). Ainsi, lorsque l’assuré établit sur la base d’un certificat médical explicite (ou par un autre moyen de preuve) qu’on ne pouvait pas exiger de lui la continuation des rapports de travail, il faut partir du principe que celle-ci n’était pas exigible pour des raisons de santé (cf. TF 8C_12/2010 du 4 mai 2010, consid. 3.1 et les références).</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324 consid. 3.2 et 3.3, 126 V 360 consid. 5b).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122 V 157 consid. 1a). Celui-ci comprend en</w:t>
      </w:r>
    </w:p>
    <w:p>
      <w:r>
        <w:t>- 12 -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125 V 193 consid. 2 ; TF 9C_694/2014 du 1er avril 2015 consid. 3.2).</w:t>
      </w:r>
    </w:p>
    <w:p>
      <w:r>
        <w:rPr>
          <w:b/>
        </w:rPr>
        <w:t>E. 5</w:t>
      </w:r>
    </w:p>
    <w:p>
      <w:r>
        <w:t>a) En l’occurrence, il n’est pas contesté que la recourante a conclu une convention de départ avec son employeur sans s’être préalablement assurée d’obtenir un nouvel emploi. Il convient dès lors d’examiner s’il pouvait être exigé d’elle qu’elle conservât son ancien travail. b) La recourante invoque différents manquements de son employeur pour justifier la résiliation des rapports de travail. Avec l’intimée, force est d’admettre que la recourante n’a pas attesté qu’elle avait demandé à son employeur l’amélioration de ses conditions de travail, ni qu’elle avait fait correctement valoir ses droits auprès de celui- ci. Or, il lui incombe, en vertu de l’art. 44 al. 1 let. b OACI, de renverser la présomption selon laquelle l’emploi quitté est présumé convenable et par conséquent, la continuation des rapports de travail exigible (TF 8C_348/2017 du 5 juillet 2017 consid. 4.3). De plus, la recourante ne démontre pas au degré de la vraisemblance prépondérante que les manquements atteignaient un degré de gravité justifiant une résiliation du contrat de travail avec effet immédiat au sens de l’art. 337 CO et de la jurisprudence en la matière (consid. 3 supra). Ces éléments ne permettent ainsi pas de considérer que la continuation des rapports de travail n’était pas exigible. c) S’agissant ensuite du motif invoqué en lien avec l’état de santé de la recourante, les deux médecins consultés ont explicitement et unanimement affirmé que la poursuite de l’activité de l’intéressée était incompatible avec son état de santé, ce qui revient à attester d’une incapacité de travail pour le poste en question. Le Dr [...] a par ailleurs</w:t>
      </w:r>
    </w:p>
    <w:p>
      <w:r>
        <w:t>- 13 - précisé qu’en janvier 2018, un traitement anti-dépresseur avait été prescrit à sa patiente, qu’une incapacité de travail temporaire avait été décidée au printemps 2018 en raison d’un début de dépression réactionnelle pour l’extraire de sa source de stress et qu’au moment où la convention de départ avait été signée, elle était en réel danger. Quant au Dr [...] et à la psychologue [...], ils ont attesté que l’assurée avait été suivie de façon hebdomadaire par leur cabinet du 12 janvier au 16 juillet 2018 et qu’au moment de signer la convention elle était épuisée physiquement et cognitivement. Si ces rapports médicaux sont certes, sous certains aspects, rédigés de manière maladroite en tant qu’ils font état de plaintes de leur patiente ou de critiques envers l’employeur, et que celui établi par le Dr [...] et la psychologue [...] peut prêter à confusion s’agissant de certains faits qui ne sont toutefois pas déterminants, il ne se justifie pas de s’écarter des constats médicaux et des conclusions claires et concordantes des auteurs des deux rapports, qui rendent compte d’une urgence médicale justifiant l’abandon de l’emploi pour ce motif, mais tout au plus de poursuivre l’instruction, au besoin, ce qui ne s’avère en réalité pas nécessaire. En définitive, aucun comportement fautif ne pouvait être imputé à l’assurée justifiant de la sanctionner, la nécessité immédiate de protéger sa santé ressortant de façon suffisamment claire des avis médiaux produits. Que ceux-ci aient soulevé, dans l’esprit de l’intimée, des questions quant aux tenants et aboutissants de l’atteinte attestée ne justifiait pas de leur ôter toute valeur probante.</w:t>
      </w:r>
    </w:p>
    <w:p>
      <w:r>
        <w:rPr>
          <w:b/>
        </w:rPr>
        <w:t>E. 7</w:t>
      </w:r>
    </w:p>
    <w:p>
      <w:r>
        <w:t>a) Au vu de ce qui précède, il convient d’admettre le recours et d’annuler la décision attaquée. b) Il n’y a pas lieu de percevoir de frais judiciaires, la procédure étant gratuite (art. 61 let. a LPGA), ni d’allouer de dépens, la recourante n’ayant pas agi par l’intermédiaire d’un mandataire professionnel (art. 61 let. g LPGA a contrario).</w:t>
      </w:r>
    </w:p>
    <w:p>
      <w:r>
        <w:t>- 14 - Par ces motifs, le juge unique p r o n o n c e : I. Le recours est admis. II. La décision sur opposition rendue le 26 avril 2019 par la Caisse cantonale de chômage, division juridique, est annulée. III. Il n’est pas perçu de frais judiciaires, ni alloué de dépens. Le juge unique : La greffière : Du L'arrêt qui précède est notifié à : - Mme N.________ - Caisse cantonale de chômage, division juridique - Secrétariat d’Etat à l’économie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