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ZQ19.021038 vom 28. November 2019</w:t>
      </w:r>
    </w:p>
    <w:p>
      <w:r>
        <w:t>VD Tribunal cantonal, 2019-11-28, FR</w:t>
      </w:r>
    </w:p>
    <w:p>
      <w:r>
        <w:rPr>
          <w:b/>
        </w:rPr>
        <w:t xml:space="preserve">Quelle: </w:t>
      </w:r>
      <w:r>
        <w:t>https://mcp.opencaselaw.ch/entscheid/vd_gerichte_ZQ19.021038</w:t>
      </w:r>
    </w:p>
    <w:p>
      <w:r>
        <w:t>FR: VD_GERICHTE ZQ19.021038 du 28 novembre 2019</w:t>
      </w:r>
    </w:p>
    <w:p>
      <w:r>
        <w:t>IT: VD_GERICHTE ZQ19.021038 del 28 novembre 2019</w:t>
      </w:r>
    </w:p>
    <w:p>
      <w:pPr>
        <w:pStyle w:val="Heading2"/>
      </w:pPr>
      <w:r>
        <w:t>Erwägungen</w:t>
      </w:r>
    </w:p>
    <w:p>
      <w:r>
        <w:rPr>
          <w:b/>
        </w:rPr>
        <w:t>E. 7</w:t>
      </w:r>
    </w:p>
    <w:p>
      <w:r>
        <w:t>janvier 2019, date de l’inscription à l’assurance-chômage. En effet, le</w:t>
      </w:r>
    </w:p>
    <w:p>
      <w:r>
        <w:t>- 13 - délai précité commence à courir à compter de la date à laquelle les études accomplies dans une haute école ont été achevées par un diplôme, soit en l’occurrence en juin 2017 (obtention du « Master en Business et administration d’entreprise »). Par ailleurs, ressortissante d’un Etat tiers, elle était soumise à la règle de priorité – question examinée de manière concrète, selon les circonstances du cas – instaurée par l’art. 21 al. 1 LEI selon laquelle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 nombre limité de permis B prévu dans le contingent cantonal ne permet de manière générale pas à un ressortissant d’un Etat tiers de pouvoir prétendre avec certitude à l’obtention d’un permis. Ce faisant, il convient d’admettre en l’occurrence que la recourante ne pouvait compter en tout temps sur la délivrance d’une autorisation de séjour avec activité lucrative, du simple fait de ses compétences professionnelles et de son profil, dès lors qu’il était possible de trouver sur le marché indigène et européen un profil analogue ou de former ou de faire former dans un délai raisonnable un travailleur disponible sur le marché du travail. Le CMTPT a enfin rejeté la demande de l’assurée du 22 janvier 2019 relative à l’octroi d’un permis de séjour en vue de l’exercice d’une activité indépendante pour le motif que la condition relative aux « intérêts économiques » n'était pas remplie et que, dans le secteur d'activité envisagé, à savoir l'import- export de fruits exotiques et de produits dérivés en provenance de Côte d'Ivoire, l'impact d'une nouvelle structure devait être considérée comme marginale en matière de création de postes de travail, de diversité régionale, de production de nouveaux mandats et ne représentait pas une réelle plus-value en terme de compétences (décision du 28 mars 2019). Enfin, il convient de rappeler que la décision du SPOP du 19 février 2019 refusant à la recourante un titre de séjour avec activité et prononçant son renvoi de Suisse est entrée en force le 1er avril 2019.</w:t>
      </w:r>
    </w:p>
    <w:p>
      <w:r>
        <w:t>- 14 - En définitive, c’est à juste titre que l’intimé a confirmé par sa décision sur opposition du 16 avril 2019 l’inaptitude au placement de l’assurée dès le 7 janvier 2019, dès lors que celle-ci ne disposait pas d'une autorisation de travailler en Suisse, respectivement qu'elle ne pouvait pas s'attendre à s'en voir délivrer une pour le cas où elle se verrait proposer un emploi convenable eu égard à sa situation sur le plan administratif. 5. a) Au vu des éléments précités, le recours est rejeté et la décision sur opposition du 16 avril 2019 est confirmée. b) Il n'y a pas lieu de percevoir de frais judiciaires, la procédure étant gratuite (art. 61 let. a LPGA), ni d'allouer de dépens, dès lors que la recourante – au demeurant non assistée par un mandataire professionnel –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