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ZQ19.014387 vom 23. September 2019</w:t>
      </w:r>
    </w:p>
    <w:p>
      <w:r>
        <w:t>VD Tribunal cantonal, 2019-09-23, FR</w:t>
      </w:r>
    </w:p>
    <w:p>
      <w:r>
        <w:rPr>
          <w:b/>
        </w:rPr>
        <w:t xml:space="preserve">Quelle: </w:t>
      </w:r>
      <w:r>
        <w:t>https://mcp.opencaselaw.ch/entscheid/vd_gerichte_ZQ19.014387</w:t>
      </w:r>
    </w:p>
    <w:p>
      <w:r>
        <w:t>FR: VD_GERICHTE ZQ19.014387 du 23 septembre 2019</w:t>
      </w:r>
    </w:p>
    <w:p>
      <w:r>
        <w:t>IT: VD_GERICHTE ZQ19.014387 del 23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 était fondé à suspendre la recourante dans son droit à l’indemnité de chômage durant</w:t>
      </w:r>
    </w:p>
    <w:p>
      <w:r>
        <w:t>- 5 - neuf jours à compter du 7 novembre 2018, pour recherches d’emploi insuffisantes au cours de la période ayant précédé le chômage.</w:t>
      </w:r>
    </w:p>
    <w:p>
      <w:r>
        <w:rPr>
          <w:b/>
        </w:rPr>
        <w:t>E. 2.2</w:t>
      </w:r>
    </w:p>
    <w:p>
      <w:r>
        <w:t>; 8C_31/2007 du 25 septembre 2007 consid. 3.1, non publié in : ATF 133 V 640, mais in : SVR 2008 ALV n° 12 p. 35). c) Le barème du SECO susmentionné prévoit, en cas de recherches insuffisantes pendant le délai de congé, une suspension de trois à quatre jours pendant un délai de congé d’un mois, de six à huit jours en cas de préavis de deux mois et de neuf à douze jours lorsque le délai de résiliation est de trois mois et plus, ces manquements constituant une faute légère (Bulletin LACI IC, ch. D79, juillet 2018).</w:t>
      </w:r>
    </w:p>
    <w:p>
      <w:r>
        <w:rPr>
          <w:b/>
        </w:rPr>
        <w:t>E. 3</w:t>
      </w:r>
    </w:p>
    <w:p>
      <w:r>
        <w:t>Dans un premier grief d’ordre formel, la recourante soutient que la décision sur opposition doit être annulée dans la mesure où la décision initiale du 20 novembre 2018 ne comportait pas de signature manuscrite. Or, si les cas dans lesquels une requête de prestations a été entièrement ou partiellement rejetée nécessitent une décision formelle au sens de l’art. 49 al. 1 LPGA (art. 100 al. 1 2ème phr. LACI), la procédure en matière d’assurances sociales a ceci de particulier qu’elle aboutit à la prise de décisions dont le cadre procédural et formel est allégé, en raison du caractère dit de masse de cette procédure (Valérie Défago Gaudin, in Dupont/Moser-Szeless [édit.], Commentaire romand, Loi sur la partie générale des assurances sociales, Bâle 2018, n°2 ad art. 49 LPGA). On relève à cet égard que l’intimé a prononcé 28'788 sanctions en 2017 (Rapport d’activité 2017 du SDE) et 26'906 en 2018 (Rapport d’activité 2018 du SDE). Le grand nombre de décisions en la matière justifie des aménagements sur le plan procédural, notamment en matière de droit d’être entendu, lequel peut être exercé non pas avant mais après la prise de décision, lorsque celle-ci est sujette à opposition (Défago Gaudin, op. cit. n° 2 ad art. 49 et n° 4 ad art. 52). S’agissant de la forme stricto sensu, l’exigence d’une décision écrite doit être comprise uniquement comme excluant les décisions orales. Elle n’impose en revanche pas le respect de toutes les contingences liées à la forme écrite, en particulier l’exigence de signature manuscrite ; celle-ci n’est pas une condition de validité de la décision (Défago Gaudin, op. cit., n° 17 ad art. 49). Le Bulletin LACI IC (Indemnités de chômage), établi par le SECO précise à cet égard que les décisions niant le droit aux prestations de l’assurance-chômage (art. 8 al. 1 LACI) doivent être signées à la main, quel que soit le type de prestations dont il est question (indemnités de</w:t>
      </w:r>
    </w:p>
    <w:p>
      <w:r>
        <w:t>- 6 - chômage, indemnités en cas de réduction de l’horaire de travail, indemnités en cas d’intempéries, indemnités en cas d’insolvabilité). En revanche, toutes les autres décisions, en particulier les sanctions et les décisions mesures relatives au marché du travail, sont considérées comme des décisions collectives et ne requièrent pas de signature. Il suffit d’indiquer le nom de l’expéditeur de l’organe d’exécution sur le document et d’y faire figurer la mention « Document sans signature » (Bulletin LACI IC, ch. E60, juillet 2018). Compte tenu de ce qui précède, c’est en vain que la recourante soutient qu’il a lieu d’annuler la décision sur opposition litigieuse au motif que la décision initiale de sanction était dépourvue de signature manuscrite, étant précisé que l’examen minutieux de son cas est intervenu dans le cadre de la procédure sur opposition.</w:t>
      </w:r>
    </w:p>
    <w:p>
      <w:r>
        <w:rPr>
          <w:b/>
        </w:rPr>
        <w:t>E. 4</w:t>
      </w:r>
    </w:p>
    <w:p>
      <w:r>
        <w:t>A ce stade, il convient d’examiner si la sanction infligée était justifiée dans son principe.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w:t>
      </w:r>
    </w:p>
    <w:p>
      <w:r>
        <w:t>- 7 - 133 V 89 consid. 6.2.2,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Zurich/Bâle/Genève 2014, n° 4 ad art. 17 LACI). c) Sur un plan temporel, l'obligation de rechercher un emploi prend déjà naissance avant la survenance effective du chômage, en particulier dès que le moment de l’inscription à l’assurance est prévisible et relativement proche (Rubin, op. cit., n° 9 ad art. 17 LACI). Il s’agit là d’une règle élémentaire de comportement, de sorte qu’un assuré doit être sanctionné même s’il n’a pas été renseigné précisément sur les conséquences de son inaction (ATF 124 V 225 consid. 5b ; TF 8C_271/2008 du 25 septembre 2008 consid. 2.1). L’obligation de rechercher un emploi vaut bien entendu en fin de rapport de travail de durée indéterminée ; un assuré doit rechercher un emploi pendant le délai de congé, dès la signification de celui-ci (Rubin, op. cit., n. 10 ad art. 17 LACI ; ATF 139 V 524 consid. 2.1.2 ; TFA [Tribunal fédéral des assurances] C 208/03 du 26 mars 2004 et les références ; TF 8C_768/2014 du 23 février 2015 consid. 2.2.2). Lorsque le chômeur ne s’inscrit pas immédiatement au chômage après le délai de congé, ce sera la durée qui s’écoule depuis la réception du congé jusqu’au début de la première période de chômage contrôlé, qui fera foi (Rubin, op. cit., n. 11 ad art. 17 LACI). Selon la jurisprudence, le fait de retarder son inscription au chômage après une résiliation des rapports de travail n'est propre à réduire le dommage causé à l'assurance que si l'assuré s'est efforcé, aussi bien durant le délai de</w:t>
      </w:r>
    </w:p>
    <w:p>
      <w:r>
        <w:t>- 8 - résiliation du contrat de travail que pendant la période située entre la fin des rapports de travail et le début du délai-cadre d'indemnisation, de rechercher un emploi avec toute l'intensité requise (TF 8C_854/2015 du 25 juillet 2016 consid. 4.2 et le références).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Le Tribunal fédéral a par ailleurs considéré qu’il n'y a pas lieu d'opérer une distinction entre le nombre de recherches d'emploi à effectuer durant une période de contrôle et le nombre de postulations durant le délai de congé ou avant le chômage (TF 8C_192/2016 du 22 septembre 2016 consid. 5).</w:t>
      </w:r>
    </w:p>
    <w:p>
      <w:r>
        <w:rPr>
          <w:b/>
        </w:rPr>
        <w:t>E. 5</w:t>
      </w:r>
    </w:p>
    <w:p>
      <w:r>
        <w:t>En l’espèce, il n’est pas contesté que le contrat de travail de la recourante a été résilié par convention du 21 février 2018 avec effet au 31 mai 2018 et que l’intéressée ne s’est inscrite au chômage que le</w:t>
      </w:r>
    </w:p>
    <w:p>
      <w:r>
        <w:rPr>
          <w:b/>
        </w:rPr>
        <w:t>E. 7</w:t>
      </w:r>
    </w:p>
    <w:p>
      <w:r>
        <w:t>a) En l’espèce, l’intimé a qualifié la faute de la recourante de légère et a fixé une durée de suspension correspondant au minimum prévu par le barème du SECO en cas de recherches insuffisantes durant la période de trois mois précédant l’inscription au chômage, à savoir neuf jours. La recourante soutient que l’échelle des suspensions établie par le SECO s’écarte du cadre légal dans la mesure où elle ne comprend pas de cas entraînant une suspension de moins de trois jours. Elle fait par ailleurs valoir que ce barème ne respecte pas le principe de proportionnalité et viole l’égalité de traitement. Cela étant, dans l’arrêt TF 8C_747/2018 mentionné supra (cf. consid. 6b), le Tribunal fédéral a reconnu le bien-fondé de la quotité de la sanction infligée par le SDE en application du barème du SECO – et désavoué l’autorité cantonale qui s’en était écarté – tout en précisant que ce barème tendait précisément à garantir une égalité de traitement entre les administrés. Le Tribunal fédéral a encore récemment confirmé une suspension de six jours, correspondant à la sanction la plus légère du</w:t>
      </w:r>
    </w:p>
    <w:p>
      <w:r>
        <w:t>- 12 - barème en cas de recherches insuffisantes s’agissant d’un délai de congé de deux mois (cf. TF 8C_463/2018 du 14 mars 2019 consid. 7.2). Il ressort de ce qui précède qu’en l’absence de circonstances particulières, il ne se justifie pas de s’écarter de ce barème, précieux dans une perspective d’égalité de traitement. Or, le cas d’espèce ne présente pas de singularités qui justifieraient de s’éloigner de la sanction minimale prévue par le barème en cas de recherches insuffisantes durant la période de trois mois précédant l’inscription au chômage. En particulier, la qualité des postulations – qui n’est pas remise en question – ne permet pas de pallier à des recherches largement insuffisantes, étant précisé qu’il était exigible de la recourante qu’elle étende ses recherches à tout le moins à d’autres administrations publiques. Compte tenu de ce qui précède, la quotité de la sanction n’apparaît pas critiquable.</w:t>
      </w:r>
    </w:p>
    <w:p>
      <w:r>
        <w:rPr>
          <w:b/>
        </w:rPr>
        <w:t>E. 8</w:t>
      </w:r>
    </w:p>
    <w:p>
      <w:r>
        <w:t>Pour le surplus, la recourante a sollicité que sa cause soit soumise à la composition ordinaire de trois juges, nonobstant une valeur litigieuse inférieure à 30'000 francs. Dans tous les cas où le recours est de la compétence d’un juge unique, celui-ci peut soumettre la cause à la Cour si l'affaire présente une certaine complexité (cf. art. 94 al. 4 LPA-VD). Néanmoins, il s’agit d’une disposition potestative qui ne confère aucun droit justiciable, étant ajouté que le cas d’espèce ne présente pas de complexité particulière. Par surabondance de droit, on relève que si l’art. 38 ROTC (règlement organique du Tribunal cantonal du 13 novembre 2007 ; BLV 173.31.1) est lui impératif, il n’existe en l’occurrence aucune question juridique de principe qui devrait être tranchée. L’abondante jurisprudence fédérale consacrant le caractère indicatif du barème du SECO lève en effet toute incertitude juridique à ce sujet.</w:t>
      </w:r>
    </w:p>
    <w:p>
      <w:r>
        <w:t>- 13 -</w:t>
      </w:r>
    </w:p>
    <w:p>
      <w:r>
        <w:rPr>
          <w:b/>
        </w:rPr>
        <w:t>E. 9</w:t>
      </w:r>
    </w:p>
    <w:p>
      <w:r>
        <w:t>a) En définitive, le recours doit être rejeté et la décision sur opposition entreprise confirmée. b) Il n’y a pas lieu de percevoir de frais judiciaires, la procédure étant gratuite (art. 61 let. a LPGA), ni d’allouer de dépens, dès lors que la recourante, au demeurant non représentée, n’obtient pas gain de cause (art. 61 let. g LPGA).</w:t>
      </w:r>
    </w:p>
    <w:p>
      <w:r>
        <w:t>- 14 - Par ces motifs, la juge unique p r o n o n c e : I. Le recours est rejeté. II. La décision sur opposition rendue le 22 février 2019 par le Service de l’emploi, Instance juridique chômage, est confirmée. III. Il n’est pas perçu de frais judiciaires ni alloué de dépens. La juge unique : La greffière : Du L'arrêt qui précède est notifié à : - L.________ ; - Service de l’emploi, Instance juridique chômage ; - Secrétariat d’Etat à l’économie ;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