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ZQ19.013659 vom 18. Juli 2019</w:t>
      </w:r>
    </w:p>
    <w:p>
      <w:r>
        <w:t>VD Tribunal cantonal, 2019-07-18, FR</w:t>
      </w:r>
    </w:p>
    <w:p>
      <w:r>
        <w:rPr>
          <w:b/>
        </w:rPr>
        <w:t xml:space="preserve">Quelle: </w:t>
      </w:r>
      <w:r>
        <w:t>https://mcp.opencaselaw.ch/entscheid/vd_gerichte_ZQ19.013659</w:t>
      </w:r>
    </w:p>
    <w:p>
      <w:r>
        <w:t>FR: VD_GERICHTE ZQ19.013659 du 18 juillet 2019</w:t>
      </w:r>
    </w:p>
    <w:p>
      <w:r>
        <w:t>IT: VD_GERICHTE ZQ19.013659 del 18 luglio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- 6 - c) Vu la valeur litigieuse inférieure à 30’000 fr., la cause est de la compétence du juge unique (art. 94 al. 1 let. a LPA-VD).</w:t>
      </w:r>
    </w:p>
    <w:p>
      <w:r>
        <w:rPr>
          <w:b/>
        </w:rPr>
        <w:t>E. 2</w:t>
      </w:r>
    </w:p>
    <w:p>
      <w:r>
        <w:t>Le litige porte sur le point de savoir si l’intimé était fondé à prononcer une suspension du droit à l’indemnité de trente et un jours, en raison du refus du recourant d’accepter un travail convenable.</w:t>
      </w:r>
    </w:p>
    <w:p>
      <w:r>
        <w:rPr>
          <w:b/>
        </w:rPr>
        <w:t>E. 3</w:t>
      </w:r>
    </w:p>
    <w:p>
      <w:r>
        <w:t>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L’assuré est notamment tenu d'accepter immédiatement tout travail convenable qui lui est proposé, en vue de diminuer le dommage (art. 16 al. 1 et 17 al. 3, 1ère phrase LACI). N'est en particulier pas réputé convenable et, par conséquent, est exclu de l'obligation d'accepter, tout travail qui ne tient pas raisonnablement compte des aptitudes de l'assuré ou de l'activité qu'il a précédemment exercée (art. 16 al. 2 let. b LACI). Il y a refus d’une occasion de travail convenable non seulement lorsque l’assuré refuse expressément d’accepter l’emploi, mais aussi lorsqu’il ne déclare pas expressément, lors des pourparlers avec le futur employeur, accepter l’emploi, alors que selon les circonstances, il aurait pu faire cette déclaration. Lors de l’entretien avec le futur employeur, le chômeur doit manifester clairement sa volonté de conclure le contrat de travail afin de mettre un terme à son chômage (DTA 1984, n° 14 p. 167). Le refus d’un emploi convenable comprend en définitive toutes les possibilités manquées de conclure un contrat en raison d’un comportement inadéquat de l’assuré (…). Pour qu’une sanction soit justifiée, il doit exister une relation de causalité entre les comportement du chômeur et l’absence de conclusion du contrat de travail (Boris Rubin,</w:t>
      </w:r>
    </w:p>
    <w:p>
      <w:r>
        <w:t>- 7 - Assurance-chômage, Droit fédéral, Survol des mesures cantonales, Procédure, 2e éd., Zurich/Bâle/Genève 2006, p. 406). b) Selon l’art. 30 al. 1 let. c et d LACI, le droit de l’assuré à l’indemnité est suspendu lorsqu’il est établi que celui-ci ne fait pas tout ce qu’on peut raisonnablement exiger de lui pour trouver un travail convenable ou qu’il n’observe pas les prescriptions de contrôle du chômage ou les instructions de l’autorité compétente. 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8C_491/2014 du 23 décembre 2014 consid. 2 ; TFA C 152/01 arrêt du 21 février 2002 consid. 4). c)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L’art. 45 al. 4 let.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130 V 125 ; TF 8C_225/2011 du 9 mars 2012 consid. 4.2). Les motifs de s’écarter de la faute grave doivent être admis restrictivement (Boris Rubin, Commentaire de la loi sur l’assurance- chômage, Genève/Zurich/Bâle 2014, n. 117 ad art. 30 LACI).</w:t>
      </w:r>
    </w:p>
    <w:p>
      <w:r>
        <w:t>- 8 -</w:t>
      </w:r>
    </w:p>
    <w:p>
      <w:r>
        <w:rPr>
          <w:b/>
        </w:rPr>
        <w:t>E. 4</w:t>
      </w:r>
    </w:p>
    <w:p>
      <w:r>
        <w:t>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TF 8C_399/2014 du 22 mai 2015 consid. 4.2 et la référence citée).</w:t>
      </w:r>
    </w:p>
    <w:p>
      <w:r>
        <w:rPr>
          <w:b/>
        </w:rPr>
        <w:t>E. 5</w:t>
      </w:r>
    </w:p>
    <w:p>
      <w:r>
        <w:t>En l’espèce, il est reproché au recourant d’avoir refusé un travail convenable en tant que serveur à 100% pour un restaurant chinois haut de gamme. Celui-ci a expliqué le déroulement de l’entretien d’embauche, durant lequel l’employeur, après avoir indiqué qu’il souhaitait engager une personne expérimentée et autonome, lui a proposé une formation, à la condition qu’il s’investisse sur du long terme dans le restaurant en question (cf. courrier du 16 novembre 2018). C’est bien la preuve que l’employeur avait l’intention de lui offrir un emploi fixe et non une place d’apprentissage, comme l’a soutenu le recourant par la suite. Les propos du recourant à cet égard sont contradictoires, dans la mesure où il a mentionné que son but était de travailler à 100% et où il a refusé le poste en question, alors-même que l’employeur était prêt à lui offrir ce qu’il recherchait, sous réserve de la formation à suivre. Par ailleurs, force est de constater que le recourant a changé de version dans ses courriers ultérieurs (cf. opposition du 15 décembre 2018 et recours du 20 mars 2019), en ne revenant plus sur la question de l’investissement à long terme, alors qu’il s’agissait apparemment d’une condition sine qua non à l’obtention du poste et à la signature du contrat. Or, conformément à la jurisprudence précitée (cf. consid. 4 supra), il y a lieu de retenir la première version du recourant, selon laquelle une formation lui était proposée à la condition que le recourant s’engage à long terme dans le poste assigné. Ainsi, en refusant un tel poste, le recourant a manqué une occasion de trouver un emploi et de sortir de l’assurance-chômage.</w:t>
      </w:r>
    </w:p>
    <w:p>
      <w:r>
        <w:t>- 9 - Le recourant fait valoir que le poste ne correspondait pas à ses qualifications professionnelles. Or comme l’a relevé l’intimé, ce n’est pas au recourant d’établir s’il correspond ou pas au poste selon ses compétences, dont le niveau d’anglais, mais à son futur employeur. Ainsi, le recourant n’avait pas d’autres choix que d’accepter ce poste, libre à lui de continuer les recherches d’emploi par la suite si celui-ci ne correspondait pas à ses aspirations professionnelles et personnelles. On rappellera à cet égard que le seul fait qu’un emploi assigné ne corresponde pas aux qualifications professionnelles et aux vœux professionnels d’un assuré n’autorise pas encore celui-ci à refuser cette occasion de travail (Boris Rubin, Assurance-chômage, Droit fédéral, Survol des mesures cantonales, Procédure, 2e éd., Zurich/Bâle/Genève 2006, p. 407). Par ailleurs, le délai de réflexion à l’issue duquel le recourant a informé l’employeur qu’il n’était pas intéressé par le poste en question démontre que le recourant n’a pas manifesté clairement à l’employeur, lors de l’entretien d’embauche, sa volonté de conclure un contrat de travail pour mettre un terme à son chômage. Il a ainsi fait preuve d’un comportement inadéquat au regard de l’assurance-chômage. Compte tenu de ce qui précède, c’est à juste titre que l’intimé a retenu que le recourant avait refusé un emploi jugé convenable, ce qui constituait une faute vis-à-vis de l’assurance-chômage et devait conduire à une suspension du droit aux indemnités.</w:t>
      </w:r>
    </w:p>
    <w:p>
      <w:r>
        <w:rPr>
          <w:b/>
        </w:rPr>
        <w:t>E. 6</w:t>
      </w:r>
    </w:p>
    <w:p>
      <w:r>
        <w:t>La suspension étant admise dans son principe, il reste à en examiner la quotité. En l’occurrence, l’intimé a retenu une faute grave, conformément à ce que prévoit l’art. 45 al. 4 let. b OACI en cas de refus d’un emploi réputé convenable sans motif valable. Il n’existe pour le surplus pas de motif justifiant de s’écarter de cette appréciation, l’absence de faute grave ne pouvant être admise que</w:t>
      </w:r>
    </w:p>
    <w:p>
      <w:r>
        <w:t>- 10 - restrictivement selon la jurisprudence. L’intimé a ainsi tenu compte de façon adéquate des circonstances particulières du cas d’espèce. Par ailleurs, en infligeant une sanction de trente et un jours, correspondant au bas de la fourchette prévue pour une faute grave, l’intimé n’a pas usé de son pouvoir d’appréciation. La quotité fixée ne prête ainsi pas le flanc à la critique et peut être confirmée.</w:t>
      </w:r>
    </w:p>
    <w:p>
      <w:r>
        <w:rPr>
          <w:b/>
        </w:rPr>
        <w:t>E. 7</w:t>
      </w:r>
    </w:p>
    <w:p>
      <w:r>
        <w:t>En définitive, le recours doit être rejeté et la décision sur opposition entreprise confirmée. Il n'y a pas lieu de percevoir de frais, la procédure étant gratuite (art. 61 let. a LPGA), ni d'allouer des dépens dès lors que le recourant, au demeurant non assisté d’un mandataire professionnel, n’obtient pas gain de cause (art. 61 let. g LPGA et 55 LPA-VD). Par ces motifs, la juge unique p r o n o n c e : I. Le recours est rejeté. II. La décision sur opposition rendue le 22 février 2019 par le Service de l’emploi, Instance juridique chômage, est confirmée. III. Il n’est pas perçu de frais judiciaires, ni alloué de dépens. La juge unique : La greffière :</w:t>
      </w:r>
    </w:p>
    <w:p>
      <w:r>
        <w:t>- 11 - Du L'arrêt qui précède est notifié à : - Y.________,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