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ZQ19.007275 vom 30. Juli 2019</w:t>
      </w:r>
    </w:p>
    <w:p>
      <w:r>
        <w:t>VD Tribunal cantonal, 2019-07-30, FR</w:t>
      </w:r>
    </w:p>
    <w:p>
      <w:r>
        <w:rPr>
          <w:b/>
        </w:rPr>
        <w:t xml:space="preserve">Quelle: </w:t>
      </w:r>
      <w:r>
        <w:t>https://mcp.opencaselaw.ch/entscheid/vd_gerichte_ZQ19.007275</w:t>
      </w:r>
    </w:p>
    <w:p>
      <w:r>
        <w:t>FR: VD_GERICHTE ZQ19.007275 du 30 juillet 2019</w:t>
      </w:r>
    </w:p>
    <w:p>
      <w:r>
        <w:t>IT: VD_GERICHTE ZQ19.007275 del 30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Le litige porte sur la remise de l’obligation de restituer les prestations de l’assurance-chômage versées à tort au recourant. Le principe de la restitution de la somme de 11'016 fr. 50 représentant le montant des indemnités indûment perçues entre les mois d’août à décembre 2017 a été tranché de manière définitive par la décision sur opposition du 19 juillet 2018 et l’intimé a reconnu que le recourant était de bonne foi concernant les indemnités reçues pour les mois d’août, septembre et octobre 2017, soit pour un montant total de 5'827 fr. 70. Seule demeure ainsi litigieuse la question de savoir si le recourant peut obtenir la remise de son obligation de restituer sur le solde, soit 5'188 fr. 80. b) Il est précisé au surplus que la conclusion du recourant relative au versement d’indemnités de chômage à partir du mois de janvier 2018 sort de l’objet du litige dès lors que la décision attaquée ne porte que sur la question de la remise. Ladite conclusion est donc irrecevable (ATF 142 I 155 consid. 4.4.2 ; 134 V 418 consid. 5.2.1).</w:t>
      </w:r>
    </w:p>
    <w:p>
      <w:r>
        <w:rPr>
          <w:b/>
        </w:rPr>
        <w:t>E. 3</w:t>
      </w:r>
    </w:p>
    <w:p>
      <w:r>
        <w:t>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w:t>
      </w:r>
    </w:p>
    <w:p>
      <w:r>
        <w:t>- 6 -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w:t>
      </w:r>
    </w:p>
    <w:p>
      <w:r>
        <w:rPr>
          <w:b/>
        </w:rPr>
        <w:t>E. 4</w:t>
      </w:r>
    </w:p>
    <w:p>
      <w:r>
        <w:t>a) En l’espèce, il n’est pas contesté que le recourant n’a pas informé sa caisse de chômage de la décision du 13 novembre 2017 du SPOP, lui refusant l’autorisation de travail demandée. En omettant d’informer la caisse de chômage de cet état de fait, alors même qu’il avait été rendu attentif à ses obligations en la matière par courrier du 28 juillet 2017 (« Nous vous rappelons que tout changement qui interviendrait dans votre situation doit être annoncé sans délai à votre Office régional de placement (ORP) et à votre caisse de chômage »), le recourant a</w:t>
      </w:r>
    </w:p>
    <w:p>
      <w:r>
        <w:t>- 7 - clairement violé son devoir de renseigner, empêchant par la même la caisse de chômage de procéder au réexamen de la situation. Ce comportement est d’autant plus critiquable que le recourant avait perdu son précédent poste pour des questions d’autorisation de travail (« nous nous voyons obligés de mettre un terme à votre contrat qui nous lie à vous, faute de permis de séjour valable permettant de travailler légalement suite au rejet du recours de [...] SA auprès du Tribunal de première instance à Genève » ; lettre de licenciement du 31 mars 2017). Le recourant avait donc été rendu attentif par le passé déjà aux conséquences des décisions rendues par les autorités cantonales compétentes en matière d’autorisation de séjour. Partant, le fait de n’avoir pas annoncé qu’il ne disposait pas d’une autorisation de travailler constitue à tout le moins une négligence grave, qui empêche la reconnaissance de la bonne foi du recourant dans la perception des indemnités de chômage. b) A toutes fins utiles, il est précisé que l’obtention de l’effet suspensif dans le cadre du recours interjeté contre la décision précitée du SPOP importe peu. Cette décision de procédure n’autorisait pas le recourant pour autant à exercer une activité lucrative dans l’attente de l’issue de la procédure et ne change rien au fait qu’il n’a pas informé la caisse de chômage de la décision du 13 novembre 2017, comportement déterminant en l’occurrence pour apprécier sa bonne foi. c) La condition de la bonne foi faisant défaut, la question de l’indigence peut rester ouverte vu le caractère cumulatif des conditions prévues par l’art. 4 OPGA (consid. 3a supra).</w:t>
      </w:r>
    </w:p>
    <w:p>
      <w:r>
        <w:rPr>
          <w:b/>
        </w:rPr>
        <w:t>E. 5</w:t>
      </w:r>
    </w:p>
    <w:p>
      <w:r>
        <w:t>a) Mal fondé, le recours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r>
        <w:t>- 8 - Par ces motifs, le juge unique p r o n o n c e : I. Le recours est rejeté dans la mesure où il est recevable. II. La décision sur opposition rendue le 15 janvier 2019 par le Service de l’emploi est confirmée. III. Il n’est pas perçu de frais judiciaires ni alloué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