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ZQ19.000908 vom 13. Dezember 2019</w:t>
      </w:r>
    </w:p>
    <w:p>
      <w:r>
        <w:t>VD Tribunal cantonal, 2019-12-13, FR</w:t>
      </w:r>
    </w:p>
    <w:p>
      <w:r>
        <w:rPr>
          <w:b/>
        </w:rPr>
        <w:t xml:space="preserve">Quelle: </w:t>
      </w:r>
      <w:r>
        <w:t>https://mcp.opencaselaw.ch/entscheid/vd_gerichte_ZQ19.000908</w:t>
      </w:r>
    </w:p>
    <w:p>
      <w:r>
        <w:t>FR: VD_GERICHTE ZQ19.000908 du 13 décembre 2019</w:t>
      </w:r>
    </w:p>
    <w:p>
      <w:r>
        <w:t>IT: VD_GERICHTE ZQ19.000908 del 13 dicembre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de fin d’année (art. 38 al. 4 let. c LPGA, applicable par renvoi de l’art. 60al. 2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w:t>
      </w:r>
    </w:p>
    <w:p>
      <w:r>
        <w:t>- 7 -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La décision ou la décision sur opposition porte en principe sur un ou plusieurs rapport(s) juridique(s). Le dispositif de la décision règle le rapport juridique comme tel. La motivation de la décision se rapporte à l’ensemble des éléments de fait et de droit qui conduisent à ce dispositif. Chacun de ces éléments constitue l’un des aspects de la motivation, dont dépend finalement le dispositif de la décision (ATF 125 V 413 consid. 2a et 2b). b) En l’occurrence, les parties sont en désaccord quant à l’objet du litige. L’intimée estime en effet que celui-ci devrait être limité au point de savoir si les charges de locaux peuvent être considérées comme des frais de matériel/marchandise et, de ce fait, doivent être incluses dans la déduction forfaitaire de 20 %, ajoutant que la recourante n’avait pas contesté, dans un premier temps, la qualification du revenu de son activité indépendante. L’intéressée, quant à elle, entend faire porter le débat également sur la qualification de ce revenu. Force est de constater que la position de l’intimée ne saurait être suivie. Il est en effet constant que la déduction forfaitaire de 20 % pour dépenses professionnelles s’applique à un gain intermédiaire, et non à un gain accessoire. Partant, la qualification de l’activité indépendante de masseuse thérapeutique de la recourante en tant que gain intermédiaire,</w:t>
      </w:r>
    </w:p>
    <w:p>
      <w:r>
        <w:t>- 8 - du moins pour une partie, est un préalable juridique nécessaire à l’application de la déduction forfaitaire de 20 % retenue dans la décision du 17 mai 2018. Ces éléments ne sauraient être séparés. En outre, et contrairement à ce que soutient l’intimée, l’intéressée avait déjà contesté la déduction des revenus de son activité indépendante – en la qualifiant d’accessoire – du montant de ses indemnités de chômage d’abord par un courriel du 22 février 2018, puis à nouveau par courriel et lettre du 28 mars 2018 adressés à l’intimée. La recourante a maintenu cette position tant dans la procédure d’opposition que dans celle de recours. Enfin, Il est relevé que, de manière surprenante, ne figure au dossier aucun décompte d’indemnités journalières versées à l’intéressée. Le premier document au dossier adressé à la recourante et qui porte, implicitement, sur la question de la qualification de son revenu d’activité d’indépendante est le courriel du 10 avril 2018. Ainsi, l’intéressée ayant formulé des objections à cet égard auparavant, il ne saurait non plus être considéré que la question de ladite qualification aurait être tranchée définitivement par l’intimée faute de contestation dans les temps utiles. Au surplus, cela paraît d’autant moins vraisemblable au vu des dates des contestations susmentionnées et du fait que l’intimée avait fixé le revenu mensuel moyen de l’activité indépendante perçu de décembre 2016 à novembre 2017 par document du 6 mars 2018. Partant, il convient de considérer que l’objet du litige porte sur la déduction des loyers, invoqués par la recourante, des revenus de son activité indépendante en sus de la déduction forfaire de 20 %, comprenant préalablement la question de la qualification desdits revenus.</w:t>
      </w:r>
    </w:p>
    <w:p>
      <w:r>
        <w:rPr>
          <w:b/>
        </w:rPr>
        <w:t>E. 3</w:t>
      </w:r>
    </w:p>
    <w:p>
      <w:r>
        <w:t>a) L’assuré a droit à l’indemnité de chômage notamment s’il est sans emploi ou partiellement sans emploi (art. 8 al. 1 let. a et art. 10 LACI).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w:t>
      </w:r>
    </w:p>
    <w:p>
      <w:r>
        <w:t>- 9 - aux usages professionnels et locaux ; les gains accessoires ne sont pas pris en considération (al. 3).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 3c ; TF 8C_600/2015 du 11 mai 2016 consid. 2.2 et réf. cit.). b) Dans le cadre de la prise en considération du gain intermédiaire, le Conseil fédéral fixe le mode de calcul du gain retiré d’une activité indépendante (art. 24 al. 1 in fine LACI). L’art. 41a al. 5 OACI prévoit que le revenu provenant d’une activité indépendante est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 du revenu brut restant.</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- 10 - importants plaident pour l'exactitude d'une allégation, sans que d'autres possibilités ne revêtent une importance significative ou n'entrent raisonnablement en considération (ATF 139 V 176 consid. 5.3 et réf. cit.).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w:t>
      </w:r>
    </w:p>
    <w:p>
      <w:r>
        <w:rPr>
          <w:b/>
        </w:rPr>
        <w:t>E. 5</w:t>
      </w:r>
    </w:p>
    <w:p>
      <w:r>
        <w:t>En l’espèce, il est admis que l’activité indépendante de masseuse thérapeutique exercée par la recourante depuis 2016 était accessoire à son activité principale d’employée de boulangerie dans un tea-room. L’intimée a arrêté le montant mensuel moyen que l’intéressée avait perçu de son activité indépendante durant la période de cotisation à 874 fr. 25. Elle a estimé que les revenus tirés de cette activité durant la période d’indemnisation devaient être qualifiés de gain accessoire au sens de l’art. 23 al. 3 LACI tant qu’ils ne dépassaient pas le montant de cette moyenne. Au-delà, ils devenaient des gains intermédiaires au sens de l’art. 24 LACI, ce qu’elle a retenu pour les revenus des mois de décembre 2017 et avril 2018. Ce faisant, elle a procédé à une application schématique et arbitraire de la jurisprudence en la matière (cf. consid. 3a supra). En effet, s’il est constant que les revenus de l’activité indépendante doivent être qualifiés de gain accessoire en ce qu’ils correspondent à ceux perçu</w:t>
      </w:r>
    </w:p>
    <w:p>
      <w:r>
        <w:t>- 11 - durant la période de cotisation et que la part des revenus les dépassant constitue un gain intermédiaire, on ne saurait comparer, ainsi que l’a fait l’intimée, un revenu mensuel moyen à un revenu mensuel unique. Il y a lieu au contraire de déterminer le revenu mensuel moyen perçu par la recourante de son activité de masseuse thérapeutique durant la période d’indemnisation et de comparer ce revenu moyen avec celui perçu durant la période de cotisation, ce qui permettra de constater si le gain originellement accessoire a augmenté et doit, pour une partie, être considéré comme intermédiaire (méthode appliquée par le Tribunal fédéral par exemple dans TF 8C_600/2015 du 11 mai 2016 consid. 4.2). Avec la méthode appliquée par l’intimée, on ne tient pas compte du fait que les revenus de l’activité indépendante ne sont pas constants et linéaires et ainsi du fait que, certains mois, ils peuvent être grandement inférieurs à la moyenne retenue. Il est d’ailleurs relevé que si l’on appliquait le revenu mensuel moyen de 874 fr. 25 perçu durant la période de cotisation aux revenus de cette même période pris individuellement, on arriverait à la conclusion contradictoire qu’une partie des revenus perçus au mois de janvier 2017, août, septembre et octobre 2017 devrait être considérée comme un gain intermédiaire. Partant, il y a lieu de comparer le revenu mensuel moyen perçu durant la période de cotisation avec le revenu mensuel moyen perçu durant la période d’indemnisation, revenu qu’il convient ainsi de déterminer. Ni la recourante, ni l’intimée ne se sont exprimées sur les revenus mensuels et sur le revenu mensuel moyen de l’activité indépendante durant la période d’indemnisation. Il convient par conséquent de renvoyer la cause à l’intimée pour qu’elle statue à cet égard, afin de respecter la garantie de double instance, en procédant, cas échéant, à un complément d’instruction. Elle comparera ensuite ce revenu mensuel moyen avec celui perçu durant la période de cotisation arrêté à 874 fr. 25 afin de déterminer si le gain accessoire a sensiblement augmenté, auquel cas la part dépassant 874 fr. 25 par mois devra être considérée comme un gain intermédiaire. Dans cette hypothèse, les loyers invoqués par l’intéressée ne devront pas être portés en déduction de la part du revenu brut de l’activité indépendante retenue en tant que gain</w:t>
      </w:r>
    </w:p>
    <w:p>
      <w:r>
        <w:t>- 12 - intermédiaire, dans la mesure où ils font partie de la déduction forfaitaire de 20 % prévue à l’art. 41a al. 5 OACI. La teneur de cette disposition est en effet claire.</w:t>
      </w:r>
    </w:p>
    <w:p>
      <w:r>
        <w:rPr>
          <w:b/>
        </w:rPr>
        <w:t>E. 6</w:t>
      </w:r>
    </w:p>
    <w:p>
      <w:r>
        <w:t>a) En définitive, le recours doit être admis et la décision sur opposition attaquée annulée, la cause étant renvoyée à l’intimée pour déterminer le revenu mensuel moyen tiré de l’activité de masseuse thérapeutique et si une partie doit être qualifiée de gain intermédiaire, en procédant à un complément d’instruction cas échéant, puis en rendant une nouvelle décision. b) Il n’y a pas lieu de percevoir de frais judiciaires, la procédure étant gratuite (art. 61 let. a LPGA). Obtenant gain de cause avec l’assistance d’un mandataire qualifié, la recourante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rendue le 22 novembre 2018 par la Caisse Z.________ est annulée, la cause lui étant renvoyée pour procéder dans le sens des considérants puis nouvelle décision. III. Il n’est pas perçu de frais judiciaires.</w:t>
      </w:r>
    </w:p>
    <w:p>
      <w:r>
        <w:t>- 13 - IV. La Caisse Z.________ versera à B.________ la somme de 1'500 fr. (mille cinq cents francs) à titre de dépens. La juge unique : Le greffier : Du L'arrêt qui précède est notifié à : - CAP, Compagnie d’Assurance de Protection Juridique SA (pour la recourante), - Caisse Z.________,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