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ZQ18.045366 vom 18. Juli 2019</w:t>
      </w:r>
    </w:p>
    <w:p>
      <w:r>
        <w:t>VD Tribunal cantonal, 2019-07-18, FR</w:t>
      </w:r>
    </w:p>
    <w:p>
      <w:r>
        <w:rPr>
          <w:b/>
        </w:rPr>
        <w:t xml:space="preserve">Quelle: </w:t>
      </w:r>
      <w:r>
        <w:t>https://mcp.opencaselaw.ch/entscheid/vd_gerichte_ZQ18.045366</w:t>
      </w:r>
    </w:p>
    <w:p>
      <w:r>
        <w:t>FR: VD_GERICHTE ZQ18.045366 du 18 juillet 2019</w:t>
      </w:r>
    </w:p>
    <w:p>
      <w:r>
        <w:t>IT: VD_GERICHTE ZQ18.045366 del 18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indemnités journalières de l’assurance-chômage à compter du 1er août 2018, plus particulièrement sur le fait de savoir s’il occupait une position assimilable à un employeur dans la société Auberge B.________ Sàrl en liquidation.</w:t>
      </w:r>
    </w:p>
    <w:p>
      <w:r>
        <w:rPr>
          <w:b/>
        </w:rPr>
        <w:t>E. 3</w:t>
      </w:r>
    </w:p>
    <w:p>
      <w:r>
        <w:t>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w:t>
      </w:r>
    </w:p>
    <w:p>
      <w:r>
        <w:t>- 5 -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8C_171/2012 du 11 avril 2013 consid. 6.3). b)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 8C_642/2015 du</w:t>
      </w:r>
    </w:p>
    <w:p>
      <w:r>
        <w:rPr>
          <w:b/>
        </w:rPr>
        <w:t>E. 6</w:t>
      </w:r>
    </w:p>
    <w:p>
      <w:r>
        <w:t>septembre 2016 consid. 3.2). En particulier, lorsqu’il s’agit de déterminer quelle est la possibilité effective d’un dirigeant d’influencer le processus de décision de l’entreprise, il convient de prendre en compte les</w:t>
      </w:r>
    </w:p>
    <w:p>
      <w:r>
        <w:t>- 6 -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Dans ces cas, le droit est nié même si, dans les faits, les personnes concernées ne s’occupent pas des affaires de la société (TF 8C_776/2011 du 14 novembre 2012 consid. 3.3.1).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Elle exclut de considérer qu’un assuré a définitivement quitté son ancienne entreprise en raison de la fermeture de celle-ci tant qu’elle n’est pas entrée en liquidation (TF 8C_511/2014 du 19 août 2015 consid. 5.1 ; 8C_172/2013 du 23 janvier 2014 consid. 3.2 ; 8C_1016/2012 du 19 août 2013 consid. 4.3 et les références ; TFA C 355/00 du 28 mars 2001 consid. 3 in DTA 2001 p. 218),</w:t>
      </w:r>
    </w:p>
    <w:p>
      <w:r>
        <w:t>- 7 - voire, selon les circonstances, pendant la durée de la procédure de liquidation. Parmi les circonstances dans lesquelles il faut exclure qu’un assuré a quitté définitivement son ancienne entreprise même pendant la durée de la procédure de liquidation de la société, il y a notamment lieu de mentionner le cas de l’assuré qui exerce la fonction de liquidateur (TF 8C_738/2015 du 14 septembre 2016 consid. 3.1 ; TFA C 267/04 du 3 avril 2006 consid. 4.2 in DTA 2007 n° 6 p. 115).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4. a) Le recourant prétend que sa situation réunit les conditions cumulatives pour l’octroi d’indemnités de chômage. Il considère en particulier que sa société a été valablement dissoute le 5 juillet 2018 et qu’à ce titre, elle n’avait plus d’activité depuis de nombreux mois et ne pouvait aucunement lui fournir un emploi ou toute forme de revenu. Il indique être resté associé gérant liquidateur afin de procéder aux formalités légales, précisant que sa « patente » avait également été radiée. Il considère avoir ainsi définitivement quitté l’entreprise depuis de nombreux mois, du fait de la cessation de toute activité et du fait de la décision de dissolution intervenue. Dans ces circonstances, il soutient ne plus détenir aucun pouvoir sur la société et que sa seule fonction de liquidateur ne fait pas, à elle seule, obstacle au droit à l’indemnité de chômage. L’exigence de radiation du registre du commerce serait en l’espèce excessive dans la mesure où les formalités comme l’appel aux créanciers ou les démarches fiscales prennent de nombreux mois. Il considère ainsi ne plus être en mesure de réactiver l’entreprise et d’être réengagé, hypothèse qui selon lui ne serait pas considérée comme un détournement de la loi par la jurisprudence.</w:t>
      </w:r>
    </w:p>
    <w:p>
      <w:r>
        <w:t>- 8 - L’intimée soutient quant à elle que le recourant n’a pas prouvé, au degré de la vraisemblance prépondérante, qu’il a définitivement quitté son ancienne société en raison de la liquidation de celle-ci. A cet égard, elle observe que la radiation du recourant au Registre du commerce a été requise au stade de la procédure judiciaire et que la situation doit s’apprécier à la date à laquelle la décision sur opposition entreprise a été rendue. Elle observe que le but de la société était « l’exploitation d’un ou plusieurs cafés, restaurants ou hôtels », ce qui permettait donc la poursuite de l’activité de la société indépendamment du sort spécifique de la licence de l’Auberge B.________. Elle relève aussi que le recourant n’a pas produit de document attestant la radiation de sa patente et qu’il a recouvré une capacité de travail de 20 % dès le 1er août 2018. Dans ces circonstances, la jurisprudence en matière de pouvoir décisionnel du liquidateur était applicable au recourant, de sorte que son droit aux indemnités de chômage devait être dénié. b) Force est de constater, à l’instar de l’intimée, que la décision sur opposition a été rendue le 21 septembre 2018, soit antérieurement à la réquisition de radiation adressée au Registre du commerce le 19 décembre 2018 et à sa publication à la Feuille officielle suisse du commerce le 14 janvier 2019. La situation doit être appréciée au moment du prononcé de la décision sur opposition et non d’après l’état de fait au moment de la clôture de l’instruction devant la Cour de céans. Or, le 21 septembre 2018, A.________ était encore inscrit au registre du commerce en qualité de liquidateur. Dans la situation au 21 septembre 2018, le recourant était inscrit au Registre du commerce en qualité d’associée liquidateur avec signature individuelle. Le statut d’associé liquidateur succédant à celui de gérant d’une société à responsabilité limitée a pour effet de maintenir l’intéressé dans le cercle des personnes qui fixent les décisions de l’employeur ou les influencent de manière déterminante. De ce chef, il n’a pas droit à l’indemnité, ce que la jurisprudence a d’ailleurs déjà admis dans des affaires analogues concernant des liquidateurs (cf. consid. 3c supra). Il apparaît en l’occurrence qu’en sa qualité de liquidateur, le</w:t>
      </w:r>
    </w:p>
    <w:p>
      <w:r>
        <w:t>- 9 - recourant demeurait chargé de la gestion et de la représentation de la société en liquidation, avec pouvoir d’accomplir tous les actes entrant dans le cadre du but de liquidation, y compris le cas échéant de nouvelles opérations, voire une réinscription. Au demeurant, la décision du 15 février 2018 du Service cantonal de la promotion économique et du commerce annulant la licence « café-restaurant » de l’Auberge B.________ n’est pas pertinente dans la mesure où comme le souligne à juste titre l’intimée dans sa réponse du 26 novembre 2018, le but social de la société Auberge B.________ Sàrl en liquidation n’empêche pas l’exploitation d’autres établissements. c) En définitive, il y a lieu de confirmer que la Caisse était légitimée de refuser, par décision sur opposition du 21 septembre 2018, l’octroi d’indemnités de chômage au recourant à partir du 1er août 2018. Dans sa duplique du 14 janvier 2019, la Caisse a précisé qu’il était loisible au recourant de solliciter l’ouverture d’un délai-cadre d’indemnisation une fois les documents pertinents en main de son agence ; il appartiendra au recourant de procéder de la sorte. 5. a) Le recours doit par conséquent être rejeté.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