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ZQ18.033405 vom 8. März 2019</w:t>
      </w:r>
    </w:p>
    <w:p>
      <w:r>
        <w:t>VD Tribunal cantonal, 2019-03-08, FR</w:t>
      </w:r>
    </w:p>
    <w:p>
      <w:r>
        <w:rPr>
          <w:b/>
        </w:rPr>
        <w:t xml:space="preserve">Quelle: </w:t>
      </w:r>
      <w:r>
        <w:t>https://mcp.opencaselaw.ch/entscheid/vd_gerichte_ZQ18.033405</w:t>
      </w:r>
    </w:p>
    <w:p>
      <w:r>
        <w:t>FR: VD_GERICHTE ZQ18.033405 du 8 mars 2019</w:t>
      </w:r>
    </w:p>
    <w:p>
      <w:r>
        <w:t>IT: VD_GERICHTE ZQ18.033405 del 8 marzo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c) La valeur litigieuse étant inférieure à 30'000 fr., la cause relève de la compétence du juge unique (art. 94 al. 1 let. a LPA-VD).</w:t>
      </w:r>
    </w:p>
    <w:p>
      <w:r>
        <w:rPr>
          <w:b/>
        </w:rPr>
        <w:t>E. 2</w:t>
      </w:r>
    </w:p>
    <w:p>
      <w:r>
        <w:t>Le litige porte sur le point de savoir si l’intimée était fondée à prononcer une suspension des indemnités de l’assurance-chômage de 17 jours à l’encontre de la recourante pour l’abandon de son emploi en gain intermédiaire, réputé convenable.</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un comportement réputé fautif (ATF 133 V 89 consid. 6.2.2 ; 126 V 520 consid. 4 ; TF 8C_40/2016 du 21 avril 2016 consid. 2.3).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w:t>
      </w:r>
    </w:p>
    <w:p>
      <w:r>
        <w:t>- 8 - (Organisation internationale du travail) n° 168 qui permet de sanctionner celui qui a quitté volontairement son emploi « sans motif légitime » (ATF 124 V 234 consid. 3b ; sur l’ensemble de la question, voir Boris Rubin, Commentaire de la loi sur l’assurance-chômage, Genève/Zurich/Bâle 2014, n° 33 ss ad art. 30 LACI).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Tel est le cas par exemple de l'absence de versement du salaire malgré la mise en demeure de l'employé (Rubin, op. cit., n° 37 ad art. 30 LACI). c) Le fait de participer à une mesure de marché du travail (art. 59 et ss LACI) ne constitue pas un motif valable de refuser un emploi convenable ou une activité procurant un gain intermédiaire, et ce quelle que soit la durée de l’activité en cause (ATF 125 V 362 consid. 4b p. 365 ; arrêts du 6 janvier 2004 [C 213/03] ; 14 août 1998 [C 194/97]). De même, l’exercice d’une activité professionnelle permet à l’assuré de refuser une mesure de marché du travail dont les horaires seraient incompatibles avec l’emploi occupé. L’activité professionnelle est donc prioritaire par rapport aux mesures de marché du travail (Rubin, op. cit. n° 65 ad art. 30 LACI).</w:t>
      </w:r>
    </w:p>
    <w:p>
      <w:r>
        <w:rPr>
          <w:b/>
        </w:rPr>
        <w:t>E. 4</w:t>
      </w:r>
    </w:p>
    <w:p>
      <w:r>
        <w:t>a) La recourante soutient que, au moment de quitter son emploi en gain intermédiaire auprès de l’Hôtel M.________, elle avait effectivement l’assurance d’un nouvel emploi auprès de B.________ Sàrl.</w:t>
      </w:r>
    </w:p>
    <w:p>
      <w:r>
        <w:t>- 9 - Selon elle, le stage professionnel préalable constituait un prérequis pour tout nouvel employé et allait effectivement déboucher sur un contrat à durée indéterminée. Pour l’intimée, la mesure de marché du travail ne pouvait justifier l’abandon d’un emploi convenable qui lui procurait un gain intermédiaire. b) Il n’est pas contesté qu’un emploi en gain intermédiaire prime sur toute mesure de marché du travail. On peut par ailleurs douter qu’un stage de formation de six mois puisse constituer une offre ferme d’emploi au sens de la jurisprudence rappelée ci-dessus. Néanmoins, les circonstances particulières du cas le laisseraient à penser, au vu notamment des garanties qui paraissent avoir été données par B.________ Sàrl. Cette question peut toutefois demeurer indécise, compte tenu de l’admission du recours pour un autre motif.</w:t>
      </w:r>
    </w:p>
    <w:p>
      <w:r>
        <w:rPr>
          <w:b/>
        </w:rPr>
        <w:t>E. 5</w:t>
      </w:r>
    </w:p>
    <w:p>
      <w:r>
        <w:t>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w:t>
      </w:r>
    </w:p>
    <w:p>
      <w:r>
        <w:t>- 10 -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En l’espèce, il ressort des pièces du dossier que les démarches de l’assurée tendant à son engagement auprès de l’entreprise B.________ Sàrl, nécessitant un stage préalable de six mois à plein temps pour lequel elle a renoncé à un emploi en gain intermédiaire, se sont faites au su et avec l’accord de l’ORP [...]. En effet, à la lecture des déterminations de l’office du 6 février 2018, la recourante souhaitait en premier lieu combiner son emploi en gain intermédiaire avec le stage professionnel, ce que l’ORP a refusé de cautionner. De la lettre de démission du 21 janvier 2018 de la recourante, de son courriel du 24 janvier 2018 et du courriel de l’office du 6 février 2018, il ressort ensuite clairement que l’ORP était informé de la démarche de son assurée avant qu’elle ne quitte l’emploi en gain intermédiaire, son conseiller ayant requis la confirmation de la résiliation de son contrat de travail auprès de l’Hôtel M.________, démarche nécessaire afin d’avaliser ensuite le stage professionnel en question. Par décision du 24 janvier 2018, en pleine connaissance de cause, l’ORP a assigné l’intéressée au stage précité à un taux de 100%, excluant dès lors de fait toute autre activité. Le comportement de la recourante a ainsi trouvé l’aval de l’autorité, consciente de la situation et des risques encourus en termes de sanction d’une telle démarche. Il est ainsi patent que le principe de la protection de la bonne foi trouve application en l’espèce. L’autorité, compétente pour renseigner et décider d’une assignation, intervenue dans une situation concrète et à l’égard d’une personne déterminée, doit assumer les</w:t>
      </w:r>
    </w:p>
    <w:p>
      <w:r>
        <w:t>- 11 - conséquences, le cas échéant contraires au droit de l’assurance-chômage, du comportement de l’assurée qu’elle a cautionné.</w:t>
      </w:r>
    </w:p>
    <w:p>
      <w:r>
        <w:rPr>
          <w:b/>
        </w:rPr>
        <w:t>E. 6</w:t>
      </w:r>
    </w:p>
    <w:p>
      <w:r>
        <w:t>a) En définitive, le recours est admis en ce sens que la mesure de suspension litigieuse de 17 jours telle que confirmée par décision sur opposition du 21 juin 2018 est annulée. b) Il n’y a pas lieu de percevoir de frais judiciaires, la procédure étant gratuite (art. 61 let. a LPGA), ni d’allouer de dépens, la recourante ayant agi sans le concours d’un mandataire (art. 61 let. g LPGA ; ATF 127 V 205 consid. 4b). Par ces motifs, le juge unique p r o n o n c e : I. Le recours est admis. II. La décision rendue le 21 juin 2018 par la Caisse cantonale de chômage, Division juridique, est annulée. III. Il n’est pas perçu de frais ni alloué de dépens. Le juge unique : Le greffier : Du L'arrêt qui précède est notifié à : - N.________, - Caisse cantonale de chômage, Division juridique, - Secrétariat d’Etat à l’économie,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