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ZQ18.028231 vom 20. September 2019</w:t>
      </w:r>
    </w:p>
    <w:p>
      <w:r>
        <w:t>VD Tribunal cantonal, 2019-09-20, FR</w:t>
      </w:r>
    </w:p>
    <w:p>
      <w:r>
        <w:rPr>
          <w:b/>
        </w:rPr>
        <w:t xml:space="preserve">Quelle: </w:t>
      </w:r>
      <w:r>
        <w:t>https://mcp.opencaselaw.ch/entscheid/vd_gerichte_ZQ18.028231</w:t>
      </w:r>
    </w:p>
    <w:p>
      <w:r>
        <w:t>FR: VD_GERICHTE ZQ18.028231 du 20 septembre 2019</w:t>
      </w:r>
    </w:p>
    <w:p>
      <w:r>
        <w:t>IT: VD_GERICHTE ZQ18.028231 del 20 settembre 2019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conclusion, le recours, mal fondé, doit être rejeté et la décision sur opposition attaquée confirmée.</w:t>
      </w:r>
    </w:p>
    <w:p>
      <w:r>
        <w:t>- 18 - b) Il n’y a pas lieu de percevoir de frais judiciaires, la procédure étant gratuite (art. 61 let. a LPGA), ni d’allouer de dépens, dès lors que la recourante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