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ZQ18.023996 vom 12. September 2018</w:t>
      </w:r>
    </w:p>
    <w:p>
      <w:r>
        <w:t>VD Tribunal cantonal, 2018-09-12, FR</w:t>
      </w:r>
    </w:p>
    <w:p>
      <w:r>
        <w:rPr>
          <w:b/>
        </w:rPr>
        <w:t xml:space="preserve">Quelle: </w:t>
      </w:r>
      <w:r>
        <w:t>https://mcp.opencaselaw.ch/entscheid/vd_gerichte_ZQ18.023996</w:t>
      </w:r>
    </w:p>
    <w:p>
      <w:r>
        <w:t>FR: VD_GERICHTE ZQ18.023996 du 12 septembre 2018</w:t>
      </w:r>
    </w:p>
    <w:p>
      <w:r>
        <w:t>IT: VD_GERICHTE ZQ18.023996 del 12 settembre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le recours contre la décision sur opposition du 14 mai 2018 a été interjeté en temps utile auprès du tribunal compétent (art. 93 let. a LPA-VD [loi cantonale vaudoise du 28 octobre 2008 sur la procédure administrative ; RSV 173.36]). Il est toutefois à la limite de la recevabilité, tant les motifs exposant en quoi la décision attaquée viole le droit sont succincts. On peut toutefois comprendre que le recourant conclut à l’annulation de la décision entreprise, raison pour laquelle il y a lieu d’entrer en matière sur le fond. c) Vu la valeur litigieuse inférieure à 30'000 fr., la cause est de la compétence du juge unique (art. 94 al. 1 let. a LPA-VD).]</w:t>
      </w:r>
    </w:p>
    <w:p>
      <w:r>
        <w:rPr>
          <w:b/>
        </w:rPr>
        <w:t>E. 2</w:t>
      </w:r>
    </w:p>
    <w:p>
      <w:r>
        <w:t>Le présent litige porte sur le point de savoir si l’intimé était fondé à suspendre le droit du recourant à l'indemnité de chômage pour une durée de cinq jours, motif pris que ce dernier ne s'est pas présenté à l’entretien de conseil et de contrôle du 12 janvier 2018.</w:t>
      </w:r>
    </w:p>
    <w:p>
      <w:r>
        <w:t>- 5 -</w:t>
      </w:r>
    </w:p>
    <w:p>
      <w:r>
        <w:rPr>
          <w:b/>
        </w:rPr>
        <w:t>E. 3</w:t>
      </w:r>
    </w:p>
    <w:p>
      <w:r>
        <w:t>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(TF 8C_928/2014 du 5 mai 2015 consid. 2 et 8C_675/2014 du 12 décembre 2014 consid. 3 ; voir pour un résumé de la jurisprudence à ce sujet TFA C 209/99 du 2 septembre 1999 consid. 3 in DTA 2000 n° 21 p. 101). c)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8C_928/2014 précité consid. 5.1 ; 8C_675/2014 précité consid. 3 ; 8C_834/2010 du 11 mai 2011 consid. 2.3 ; 8C_469/2010 du 9 février 2011 consid. 2.2 et 8C_447/2008 du 16 octobre 2008 consid. 5.1 in DTA 2009 p. 271; cf. aussi TF C 265/06 du 14 novembre 2007 consid. 4.2).</w:t>
      </w:r>
    </w:p>
    <w:p>
      <w:r>
        <w:rPr>
          <w:b/>
        </w:rPr>
        <w:t>E. 4</w:t>
      </w:r>
    </w:p>
    <w:p>
      <w:r>
        <w:t>a) Dans le domaine des assurances sociales, le juge fonde généralement sa décision sur les faits qui, faute d'être établis de manière</w:t>
      </w:r>
    </w:p>
    <w:p>
      <w:r>
        <w:t>- 6 -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d’assurance-chômage, il revient aux organes d’exécution mentionnés aux art. 76 ss LACI de mettre en œuvre les mesures d’instruction nécessaires afin de constituer un dossier complet.</w:t>
      </w:r>
    </w:p>
    <w:p>
      <w:r>
        <w:rPr>
          <w:b/>
        </w:rPr>
        <w:t>E. 5</w:t>
      </w:r>
    </w:p>
    <w:p>
      <w:r>
        <w:t>Dans le cas d’espèce, l’intimé a considéré que l’assuré avait manqué un rendez-vous de conseil sans motif valable. Le recourant allègue pour sa part, dans le cadre du recours, qu’il avait pensé de bonne foi être dispensé de se présenter au rendez- vous dès lors qu’il travaillait, conformément aux indications que lui avait données son conseiller ORP. L’assuré ne peut cependant pas être suivi dans ses explications. En effet, aucun document ne confirme que cette information lui aurait été donnée. Au vu du procès-verbal du 7 novembre 2017, il a effectivement pu interpréter les renseignements de son conseiller ORP en ce sens qu’il était dispensé de rechercher un emploi lorsqu’il réalisait un gain intermédiaire suffisant à exclure, au moins</w:t>
      </w:r>
    </w:p>
    <w:p>
      <w:r>
        <w:t>- 7 - provisoirement, une indemnisation par la caisse de chômage (cf. décision sur opposition du 2 mars 2018). Ce document ne dit rien, en revanche, de la question des entretiens de conseil. En outre, le recourant ne pouvait ignorer qu’en ayant été convoqué à un entretien de conseil et de contrôle, il devait prendre contact avec l’ORP pour en demander le report, par exemple s’il était empêché de s’y rendre en raison de son travail. Enfin, ses allégations dans la procédure d’opposition contredisent celles présentées en instance de recours, puisque le recourant a soutenu, dans un premier temps, avoir cherché à joindre l’ORP pour l’informer de son absence ou de son retard, avant d’alléguer, en instance de recours, qu’il pensait être dispensé de se présenter à l’entretien. A propos de ces premières allégations, on observera que l’intimé a considéré, à juste titre, que celles concernant l’annonce, par le répondeur automatique de l’ORP, de la fermeture de cet office, alors que celui-ci ne ferme qu’à 17h00 et que le recourant était convoqué à un entretient de conseil à 16h00, n’étaient pas établies. En tout état de cause, le recourant n’a pas démontré ni allégué s’être spontanément excusé d’avoir manqué l’entretien du 12 janvier 2018, si bien que la jurisprudence du Tribunal fédéral régissant les absences aux entretiens à la suite d’un oubli ou d’une inattention (consid. 3c supra) n’est pas applicable. Dans ces conditions, c’est à juste titre qu’une suspension a été prononcée sur la base de l’art. 30 al. 1 let. d LACI.</w:t>
      </w:r>
    </w:p>
    <w:p>
      <w:r>
        <w:rPr>
          <w:b/>
        </w:rPr>
        <w:t>E. 6</w:t>
      </w:r>
    </w:p>
    <w:p>
      <w:r>
        <w:t>La sanction étant justifiée dans son principe, il convient à présent d’en examiner la quotité. a) La durée de la suspension est proportionnelle à la faute et ne peut excéder, par motif de suspension, 60 jours (art. 30 al. 3, 3ème phrase LACI). Le Conseil fédéral peut prescrire une durée minimale pour la suspension (art. 30 al. 3bis LACI). Faisant usage de cette délégation de compétence, le Conseil fédéral a édicté le barème de l’art. 45 al. 3 OACI, lequel prévoit une suspension de 1 à 15 jours en cas de faute légère (let. a), de 16 à 30 jours en cas de faute de gravité moyenne (let. b) et de 31 à 60 jours en cas de faute grave (let. c). La faute légère est souvent retenue</w:t>
      </w:r>
    </w:p>
    <w:p>
      <w:r>
        <w:t>- 8 - en cas d’entretiens manqués, de recherches d’emploi manquantes ou insuffisantes la première et la deuxième fois ou de refus de participer à une mesure de marché du travail de courte durée (Rubin, Commentaire de la loi sur l’assurance-chômage, Genève/Zurich/Bâle 2014, n. 115 et 116 ad art. 30 LACI). L’autorité dispose à cet égard d’un large pouvoir d’appréciation (ATF 133 V 593 consid. 6 et 123 V 150 consid. 3b). Le Secrétariat d’état à l’économie (SECO) a quant à lui édicté une échelle des mesures de suspension en cas de faute de l’assuré, à l’intention des autorités cantonales de chômage et des offices régionaux de placement. Cette directive permet d’assurer une certaine égalité de traitement entre les assurés. Le barème du SECO prévoit, en cas de non présentation sans motif valable à la journée d'information, à un entretien de conseil ou de contrôle, une sanction de 5 à 8 jours lors du premier manquement, et de 9 à 15 jours en cas de second manquement (Bulletin LACI IC, chiffre D79, 3.A 1, dans sa version au 1er janvier 2018). b) En l’espèce, qualifiant la faute du recourant de légère, l’intimé a confirmé la suspension de cinq jours du droit aux indemnités de chômage, qui correspond à la quotité minimale prévue par les barèmes du SECO en cas de non présentation sans motif valable à un entretien de conseil pour la première fois. Ce faisant, l’intimé a correctement tenu compte des circonstances du cas d’espèce et le recourant ne fait pas valoir de circonstances personnelles extraordinaires justifiant une sanction plus légère. L'intimé n’a dès lors pas abusé de son pouvoir d’appréciation. Par conséquent, la suspension de cinq jours infligée au recourant ne prête pas le flanc à la critique et peut être confirmée.</w:t>
      </w:r>
    </w:p>
    <w:p>
      <w:r>
        <w:rPr>
          <w:b/>
        </w:rPr>
        <w:t>E. 7</w:t>
      </w:r>
    </w:p>
    <w:p>
      <w:r>
        <w:t>a) En définitive, le recours doit être rejeté et la décision sur opposition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a</w:t>
      </w:r>
    </w:p>
    <w:p>
      <w:r>
        <w:t>- 9 - contrario ; art. 55 al. 1 LPA-VD, applicable par renvoi des art. 91 et 99 LPA- VD). Par ces motifs, le juge unique p r o n o n c e : I. Le recours est rejeté. II. La décision sur opposition rendue le 14 mai 2018 par le Service de l’emploi, Instance juridique chômage, est confirmée. III. Il n’est pas perçu de frais judiciaires, ni alloué de dépens. Le juge unique : La greffière : Du L'arrêt qui précède est notifié à : - U.________,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