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ZQ18.019350 vom 6. August 2018</w:t>
      </w:r>
    </w:p>
    <w:p>
      <w:r>
        <w:t>VD Tribunal cantonal, 2018-08-06, FR</w:t>
      </w:r>
    </w:p>
    <w:p>
      <w:r>
        <w:rPr>
          <w:b/>
        </w:rPr>
        <w:t xml:space="preserve">Quelle: </w:t>
      </w:r>
      <w:r>
        <w:t>https://mcp.opencaselaw.ch/entscheid/vd_gerichte_ZQ18.019350</w:t>
      </w:r>
    </w:p>
    <w:p>
      <w:r>
        <w:t>FR: VD_GERICHTE ZQ18.019350 du 6 août 2018</w:t>
      </w:r>
    </w:p>
    <w:p>
      <w:r>
        <w:t>IT: VD_GERICHTE ZQ18.019350 del 6 agosto 2018</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 RS 837.02], applicable par renvoi de l’art. 128 al. 1 OACI).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toutefois de la compétence d'un membre de la Cour des assurances sociales statuant en tant que juge unique (art. 94 al. 1 let. a LPA-VD). b) En l'occurrence, le recours a été formé en temps utile, compte tenu des féries de Pâques (art. 38 al. 4 let. a et 60 al. 1 LPGA). Il satisfait en outre aux autres conditions de forme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w:t>
      </w:r>
    </w:p>
    <w:p>
      <w:r>
        <w:t>- 7 - recourant a critiqués, exception faite lorsque les points non critiqués ont des liens étroits avec la question litigieuse (ATF 131 V 164 et 125 V 413 consid. 2c). b) En l’espèce, est litigieux le point de savoir si l’intimée était fondée à prononcer une suspension du droit à l’indemnité de la recourante pour une durée de trente et un jours, au motif qu’elle avait abandonné un emploi réputé convenable.</w:t>
      </w:r>
    </w:p>
    <w:p>
      <w:r>
        <w:rPr>
          <w:b/>
        </w:rPr>
        <w:t>E. 3</w:t>
      </w:r>
    </w:p>
    <w:p>
      <w:r>
        <w:t>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w:t>
      </w:r>
    </w:p>
    <w:p>
      <w:r>
        <w:t>- 8 - 124 V 234 consid. 3b ; sur l’ensemble de la question, voir Boris Rubin, Commentaire de la loi sur l’assurance-chômage, Genève/Zurich/Bâle 2014, n. 33 ss ad art. 30 LACI).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En revanche,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RS 220 ; TF 8C_285/2013 du 11 février 2014 consid. 4.1). Tel est le cas par exemple de l'absence de versement du salaire malgré la mise en demeure de l'employé (Rubin, op. cit., n. 37 ad art. 30 LACI).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(Rubin, loc. cit.).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(Rubin, op. cit., n° 37 ad art. 16 LACI ; ATF 124 V 234 consid. 4b ; TFA C 60/05 du 18 avril 2006 consid. 6). La compatibilité d’un</w:t>
      </w:r>
    </w:p>
    <w:p>
      <w:r>
        <w:t>- 9 - emploi avec l’état de santé s'apprécie non pas par rapport à ce que pourrait ressentir un assuré mais sur la base de certificats médicaux (TFA C 151/03 du 3 octobre 2003 consid. 2.3.2 et la référence).</w:t>
      </w:r>
    </w:p>
    <w:p>
      <w:r>
        <w:rPr>
          <w:b/>
        </w:rPr>
        <w:t>E. 4</w:t>
      </w:r>
    </w:p>
    <w:p>
      <w:r>
        <w:t>En l'occurrence, il est constant que la recourante a mis fin à son activité auprès de L.________ sans s'être préalablement assurée d'obtenir un nouveau travail. Il convient dès lors d'examiner s'il pouvait être exigé d’elle qu'elle conservât son ancien emploi (cf. art. 44 al. 1 let. b OACI). La recourante fait valoir que la poursuite des rapports de travail était devenue insupportable, puisqu’elle subissait une situation de harcèlement de la part de l’ensemble de ses collègues, en particulier de ses subordonnées, ce qui avait mis sa santé en danger. Quant à la caisse, elle fonde son argumentation pour l’essentiel sur un « courrier de neuf pages » par lequel l’assurée aurait exposé les raisons l’ayant conduite à démissionner. Or le document en question ne figure pas au dossier produit par l’intimée. Quant aux autres éléments du dossier, ils ne permettent pas de rendre compte de l’absence, respectivement de l’existence, des problèmes allégués par la recourante, et dès lors de déterminer si l’on pouvait exiger de cette dernière le maintien de son activité auprès de L.________. En particulier, le seul élément provenant de l’employeur est qu’il ait accepté, à la demande de l’assurée, de la libérer de son obligation de travailler avant le terme de son contrat.</w:t>
      </w:r>
    </w:p>
    <w:p>
      <w:r>
        <w:rPr>
          <w:b/>
        </w:rPr>
        <w:t>E. 5</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et 122 V 157 consid. 1d). Il en va cependant autrement quand un renvoi constitue en soi un déni de justice (par exemple, lorsque, en</w:t>
      </w:r>
    </w:p>
    <w:p>
      <w:r>
        <w:t>- 10 -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(ATF 137 V 210 consid. 4.4.1.4 et 4.4.1.5). b) En l’occurrence, au vu des lacunes relevées ci-dessus, la cause doit être renvoyée à l’intimée – à qui il appartient au premier chef d’instruire (cf. art. 43 LPGA) –, pour qu’elle en complète l’instruction. Elle prendra en particulier soin d’interroger l’employeur de la recourante sur les circonstances ayant conduit à son départ, et fera verser au dossier le courrier de neuf pages dont elle se prévaut. Elle mettra le cas échéant en œuvre toute autre mesure utile d’instruction.</w:t>
      </w:r>
    </w:p>
    <w:p>
      <w:r>
        <w:rPr>
          <w:b/>
        </w:rPr>
        <w:t>E. 6</w:t>
      </w:r>
    </w:p>
    <w:p>
      <w:r>
        <w:t>a) En définitive, le recours doit être admis et la décision sur opposition litigieuse annulée, la cause étant renvoyée à l'intimée pour complément d’instruction au sens des considérants, puis nouvelle décision. b) Il n'y a pas lieu de percevoir de frais judiciaires, la procédure étant gratuite (art. 61 let. a LPGA). La recourante, qui obtient gain de cause sans l'assistance d'un mandataire professionnel, n'a pas droit à des dépens (art. 61 let. g LPGA et 55 al. 1 LPA-VD). Par ces motifs, la juge unique p r o n o n c e :</w:t>
      </w:r>
    </w:p>
    <w:p>
      <w:r>
        <w:t>- 11 - I. Le recours est admis. II. La décision sur opposition rendue le 22 mars 2018 par la Caisse cantonale de chômage, Division juridique, est annulée, la cause lui étant renvoyée pour complément d'instruction dans le sens des considérants puis nouvelle décision. III. Il n’est pas perçu de frais judiciaires, ni alloué de dépens. La juge unique : La greffière : Du L'arrêt qui précède est notifié à : - D.________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