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ZQ18.006061 vom 3. Juli 2018</w:t>
      </w:r>
    </w:p>
    <w:p>
      <w:r>
        <w:t>VD Tribunal cantonal, 2018-07-03, FR</w:t>
      </w:r>
    </w:p>
    <w:p>
      <w:r>
        <w:rPr>
          <w:b/>
        </w:rPr>
        <w:t xml:space="preserve">Quelle: </w:t>
      </w:r>
      <w:r>
        <w:t>https://mcp.opencaselaw.ch/entscheid/vd_gerichte_ZQ18.006061</w:t>
      </w:r>
    </w:p>
    <w:p>
      <w:r>
        <w:t>FR: VD_GERICHTE ZQ18.006061 du 3 juillet 2018</w:t>
      </w:r>
    </w:p>
    <w:p>
      <w:r>
        <w:t>IT: VD_GERICHTE ZQ18.006061 del 3 luglio 2018</w:t>
      </w:r>
    </w:p>
    <w:p>
      <w:pPr>
        <w:pStyle w:val="Heading2"/>
      </w:pPr>
      <w:r>
        <w:t>Erwägungen</w:t>
      </w:r>
    </w:p>
    <w:p>
      <w:r>
        <w:rPr>
          <w:b/>
        </w:rPr>
        <w:t>E. 4</w:t>
      </w:r>
    </w:p>
    <w:p>
      <w:r>
        <w:t>a) En l’espèce, les indemnités litigieuses ont été accordées par décision informelle du 9 août 2017, selon la procédure simplifiée de l’art. 51 LPGA. Le versement corrélatif a ainsi tenu compte des décisions de sanction des 19 juillet 2017 et 2 août 2017 (totalisant dix-neuf jours de suspension dans l’exercice du droit à l’indemnité).</w:t>
      </w:r>
    </w:p>
    <w:p>
      <w:r>
        <w:t>- 7 - L’ORP a cependant établi une nouvelle décision de sanction le 15 août 2017 et suspendu le recourant à hauteur de seize jours indemnisés dès le 21 juillet 2017. Portée à la connaissance de l’intimée postérieurement au décompte du 9 août 2017, cette sanction constitue un fait nouveau important propre à modifier l’état de fait ayant fondé le versement des prestations et à conduire à une décision différente. Les conditions de la révision procédurale de l’art. 53 al. 1 LPGA sont ainsi remplies. Dès lors, c’est à juste titre que l’intimée a exigé la restitution des deux indemnités journalières acquittées en juillet 2017 pour le total de 224 fr. 85 afin de prendre en considération la décision de sanction du 15 août 2017. b) Dans ce contexte, le recourant se prévaut en premier lieu d’une procédure d’opposition qu’il aurait entamée à l’encontre de la décision de sanction précitée. Au titre de justificatif, étaient annexés à son mémoire de recours un tirage d’un courrier non signé, daté du 14 août 2017, visant à contester son absence à un entretien de conseil du 20 juillet 2017, ainsi qu’un échange de courriels entretenu le 12 juillet 2017 avec sa conseillère en placement. Contrairement à ce qu’il semble soutenir auprès du tribunal de céans, ces documents ne permettent en aucun cas de déduire qu’il aurait valablement contesté la décision de sanction de l’ORP du 15 août 2017, laquelle est intervenue postérieurement à ces échanges. Il ne produit ainsi aucune pièce confirmant l’introduction d’une opposition à cette décision, tandis que le SDE a expressément indiqué à l’intimée l’entrée en force de cette dernière. Il y a donc lieu de considérer que la décision de sanction du 15 août 2017 est valablement entrée en force, faute d’opposition interjetée à son encontre en temps utile. Le bien-fondé de cette sanction ne saurait dès lors être examiné à ce stade de la procédure. c) Le recourant se prévaut en second lieu de divers arguments destinés à remettre en question le bien-fondé des sanctions prononcées par l’ORP et de la décision d’inaptitude au placement du 15 septembre</w:t>
      </w:r>
    </w:p>
    <w:p>
      <w:r>
        <w:t>- 8 - 2017. Ces arguments sont également sans pertinence par rapport à la question de la restitution portée devant le tribunal de céans. On soulignera en outre que les décisions de sanction des 19 juillet 2017 et 2 août 2017 ont fait l’objet de décisions sur opposition en date des 11 septembre et 19 septembre 2017, lesquelles sont entrées en force en l’absence de recours. Il en va de même des griefs du recourant à l’encontre de l’inaptitude au placement prononcée le 15 septembre 2017 dès le 1er septembre 2017, laquelle porte au demeurant de toute façon sur une période postérieure au mois de juillet 2017. d) Sur le vu de ce qui précède, il y a lieu de conclure que l’intimée était légitimée à corriger le décompte du 9 août 2017 et à réclamer la restitution des indemnités journalières litigieuses, versées à tort pour juillet 2017.</w:t>
      </w:r>
    </w:p>
    <w:p>
      <w:r>
        <w:rPr>
          <w:b/>
        </w:rPr>
        <w:t>E. 5</w:t>
      </w:r>
    </w:p>
    <w:p>
      <w:r>
        <w:t>En conclusion, le recours doit être rejeté et la décision sur opposition entreprise confirmée. Il n’y a pas lieu de percevoir de frais judiciaires, la procédure étant gratuite (art. 61 let. a LPGA), ni d’allouer de dépens, dès lors que le recourant n’obtient pas gain de cause (art. 61 let. g LPGA).</w:t>
      </w:r>
    </w:p>
    <w:p>
      <w:r>
        <w:t>- 9 - Par ces motifs, le juge unique p r o n o n c e : I. Le recours est rejeté, dans la mesure où il est recevable. II. La décision sur opposition, rendue le 16 janvier 2017 [recte : 2018] par la Caisse cantonale de chômage, Division juridique, est confirmée. III. Il n’est pas perçu de frais judiciaires, ni alloué de dépens. Le juge unique : La greffière : Du L'arrêt qui précède est notifié, par l'envoi de photocopies, à : - B.________,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