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ZQ17.051645 vom 25. Mai 2018</w:t>
      </w:r>
    </w:p>
    <w:p>
      <w:r>
        <w:t>VD Tribunal cantonal, 2018-05-25, FR</w:t>
      </w:r>
    </w:p>
    <w:p>
      <w:r>
        <w:rPr>
          <w:b/>
        </w:rPr>
        <w:t xml:space="preserve">Quelle: </w:t>
      </w:r>
      <w:r>
        <w:t>https://mcp.opencaselaw.ch/entscheid/vd_gerichte_ZQ17.051645</w:t>
      </w:r>
    </w:p>
    <w:p>
      <w:r>
        <w:t>FR: VD_GERICHTE ZQ17.051645 du 25 mai 2018</w:t>
      </w:r>
    </w:p>
    <w:p>
      <w:r>
        <w:t>IT: VD_GERICHTE ZQ17.051645 del 25 maggio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(art. 60 al. 1 LPGA).</w:t>
      </w:r>
    </w:p>
    <w:p>
      <w:r>
        <w:t>- 6 -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et dans le respect des formalités prévues par la loi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la décision sur opposition litigieuse a pour seul objet la recevabilité de l’opposition formée par la recourante le 20 septembre 2017 à l’encontre de la décision du 28 juillet 2017. Le présent litige porte ainsi uniquement sur la recevabilité de cette opposition. Les conclusions et les griefs de la recourante concernant le fond du litige sortent du cadre de ce dernier et sont dès lors irrecevables.</w:t>
      </w:r>
    </w:p>
    <w:p>
      <w:r>
        <w:rPr>
          <w:b/>
        </w:rPr>
        <w:t>E. 3</w:t>
      </w:r>
    </w:p>
    <w:p>
      <w:r>
        <w:t>La recourante a sollicité la jonction des causes ACH 198/17 – 95/2018 et ACH 184/17 – 94/2018. Or, ces procédures n’opposent pas les mêmes parties, de sorte que cette requête est rejetée (cf. ATF 131 V 59 consid. 1 a contrario).</w:t>
      </w:r>
    </w:p>
    <w:p>
      <w:r>
        <w:rPr>
          <w:b/>
        </w:rPr>
        <w:t>E. 4</w:t>
      </w:r>
    </w:p>
    <w:p>
      <w:r>
        <w:t>Conformément à l’art. 52 al. 1 LPGA, les décisions peuvent être attaquées dans les trente jours par voie d'opposition auprès de</w:t>
      </w:r>
    </w:p>
    <w:p>
      <w:r>
        <w:t>- 7 - l'assureur qui les a rendues, à l'exception des décisions d'ordonnancement de la procédure. Selon l’art. 38 LPGA, si le délai, compté par jours ou par mois, doit être communiqué aux parties, il commence à courir le lendemain de la communication (al. 1). Une communication qui n'est remise que contre la signature du destinataire ou d'un tiers habilité est réputée reçue au plus tard sept jours après la première tentative infructueuse de distribution (al. 2bis).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7e jour avant Pâques au 7e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w:t>
      </w:r>
    </w:p>
    <w:p>
      <w:r>
        <w:t>- 8 - dans l’impossibilité d’agir par soi-même ou de charger une tierce personne d’agir en son nom dans le délai (ATF 119 lI 86 consid. 2 ; TF 8C_722/2014 du 31 octobre 2014,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w:t>
      </w:r>
    </w:p>
    <w:p>
      <w:r>
        <w:rPr>
          <w:b/>
        </w:rPr>
        <w:t>E. 5</w:t>
      </w:r>
    </w:p>
    <w:p>
      <w:r>
        <w:t>En l’espèce, la recourante a reçu la décision du 28 juillet 2017 au début du mois d’août 2017, ce qu’elle ne conteste pas. Le délai d’opposition de 30 jours étant suspendu durant les féries judiciaires (cf. art. 38 al. 4 let. b LPGA), il a commencé à courir le 16 août 2017, et ceci jusqu’au 14 septembre 2017. Ainsi, l’opposition formée le 20 septembre 2017 est tardive, tel que le reconnaît l’assurée. Elle requiert la restitution du délai d’opposition, en soutenant qu’elle se trouvait à l’étranger du 20 juillet au 10 septembre 2017. Toutefois, l’absence ne permet pas d’obtenir la restitution du délai lorsqu’elle est longue, auquel cas l’intéressé doit prendre les dispositions nécessaires à la sauvegarde d’un éventuel délai, ou quand l’absent est en litige et doit par conséquent s’attendre à une communication de l’autorité (ATF 130 III 396 consid. 1.2.3 ; TF 8C_564/2016 du 24 octobre 2016 ; Boris Rubin, Commentaire de la loi sur l’assurance-chômage, Genève/Zurich/Bâle 2014, n. 36 ad art. 1 LACI). En l’occurrence, la caisse a informé l’assurée le 20 avril 2017 qu’au vu des activités professionnelles effectuées, elle s’exposait à l’obligation de rembourser les prestations perçues. L’intéressée a répondu à ce courrier le 23 mai 2017 puis, à la</w:t>
      </w:r>
    </w:p>
    <w:p>
      <w:r>
        <w:t>- 9 - demande du 12 juin 2017 de la caisse, a encore transmis un document le 30 juin 2017. Le 4 juillet 2017, la caisse lui a communiqué qu’elle avait demandé au SDE de statuer sur son aptitude au placement, lequel a, pour ce faire, invité l’assurée à répondre à plusieurs questions par courrier du 11 juillet 2017. La recourante s’est exécutée le 21 juillet 2017. Ainsi, au vu des procédures pendantes tant devant l’intimée que devant le SDE, elle devait s’attendre à recevoir une communication officielle. En s’absentant pendant une période aussi longue, elle aurait dû désigner un représentant. Elle n’était en aucun cas légitimée à conclure que l’intimée ne rendrait une décision qu’à la fin du mois d’août 2017, au vu des « vacances d’été ». Dans ces circonstances, elle ne peut se voir reconnaître une erreur excusable d’appréciation. L’assurée soutient encore que son séjour en [...] était initialement prévu pour une durée de trois semaines seulement, mais qu’elle a été très malade juste avant de rentrer, à tel point qu’elle a même dû être hospitalisée. Cependant, ce n’est qu’au stade du recours qu’elle s’est prévalue d’une telle atteinte à la santé. Ceci ne ressort aucunement de son opposition du 20 septembre 2017, ni du témoignage de sa sœur. Cette dernière a en effet attesté que l’intéressée se trouvait en [...] du 20 juillet au 10 septembre 2017, en précisant de plus qu’elle avait séjourné « dans sa maison », sans faire mention d’une quelconque maladie, ni d’une hospitalisation. En outre, l’assurée n’a produit aucun document propre à corroborer ses déclarations, alors qu’il lui incombe de prouver les faits qu’elle allègue. Elle n’a ainsi pas établi qu’elle avait été empêchée, sans sa faute, d’agir dans le délai utile, ce d’autant plus que dans son recours interjeté contre la décision sur opposition du 10 octobre 2017 du SDE (cause ACH 184/17 – 94/2018), elle ne s’est pas prévalue d’une atteinte à la santé, mais de « raisons familiales impérieuses ». Enfin, elle soutient que la notion d’empêchement non fautif doit être interprétée largement, même si le Tribunal fédéral a retenu, dans son arrêt TF 2P.307/2000 du 6 février 2001, qu’en principe seule la maladie constituait un tel empêchement. Toutefois, au vu de ce qui</w:t>
      </w:r>
    </w:p>
    <w:p>
      <w:r>
        <w:t>- 10 - précède, les circonstances du cas d’espèce ne lui permettent pas de se voir octroyer une restitution du délai. C’est donc à juste titre que l’intimée a déclaré irrecevable l’acte d’opposition du 20 septembre 2017.</w:t>
      </w:r>
    </w:p>
    <w:p>
      <w:r>
        <w:rPr>
          <w:b/>
        </w:rPr>
        <w:t>E. 6</w:t>
      </w:r>
    </w:p>
    <w:p>
      <w:r>
        <w:t>Il n’y a pas lieu de tenir une audience, ni de procéder à l’audition de la sœur de la recourante, comme le requiert cette dernière, la Cour de céans étant convaincue que de telles mesures d’instruction ne modifieraient pas l’appréciation qui précède (appréciation anticipée des preuves, cf. ATF 134 I 140 consid. 5.3, 131 I 153 ; TF 9C_303/2015 du 11 décembre 2015 consid. 3.2, 8C_285/2013 du 11 février 2014 consid. 5.2).</w:t>
      </w:r>
    </w:p>
    <w:p>
      <w:r>
        <w:rPr>
          <w:b/>
        </w:rPr>
        <w:t>E. 7</w:t>
      </w:r>
    </w:p>
    <w:p>
      <w:r>
        <w:t>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