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ZQ17.036335 vom 5. April 2018</w:t>
      </w:r>
    </w:p>
    <w:p>
      <w:r>
        <w:t>VD Tribunal cantonal, 2018-04-05, FR</w:t>
      </w:r>
    </w:p>
    <w:p>
      <w:r>
        <w:rPr>
          <w:b/>
        </w:rPr>
        <w:t xml:space="preserve">Quelle: </w:t>
      </w:r>
      <w:r>
        <w:t>https://mcp.opencaselaw.ch/entscheid/vd_gerichte_ZQ17.036335</w:t>
      </w:r>
    </w:p>
    <w:p>
      <w:r>
        <w:t>FR: VD_GERICHTE ZQ17.036335 du 5 avril 2018</w:t>
      </w:r>
    </w:p>
    <w:p>
      <w:r>
        <w:t>IT: VD_GERICHTE ZQ17.036335 del 5 aprile 2018</w:t>
      </w:r>
    </w:p>
    <w:p>
      <w:pPr>
        <w:pStyle w:val="Heading2"/>
      </w:pPr>
      <w:r>
        <w:t>Erwägungen</w:t>
      </w:r>
    </w:p>
    <w:p>
      <w:r>
        <w:rPr>
          <w:b/>
        </w:rPr>
        <w:t>E. 6</w:t>
      </w:r>
    </w:p>
    <w:p>
      <w:r>
        <w:t>La sanction étant justifiée dans son principe, reste à en examiner la quotité. a) La durée de la suspension est proportionnelle à la gravité de la faute et ne peut excéder soixante jours (cf. art. 30 al. 3 phr. 3 LACI).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La faute légère est souvent retenue en cas d’entretiens manqués, de recherches d’emploi manquantes ou insuffisantes la première et la</w:t>
      </w:r>
    </w:p>
    <w:p>
      <w:r>
        <w:t>- 18 -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(cf. Rubin, op. cit., nos 115-116 ad art. 30 LACI p. 329). Il y a faute grave lorsque, sans motif valable, l’assuré abandonne un emploi réputé convenable sans être assuré d’obtenir un nouvel emploi ou refuse un emploi convenable (cf. art. 45 al. 4 OACI).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(cf. Rubin, op. cit., n° 110 ad art. 30 LACI p. 328 ; cf. ATF 137 V 71 consid. 5.2 ; cf. TF 8C_285/2011 du 22 août 2011 consid. 3.1). En tant qu’autorité de surveillance, le Secrétariat d’Etat à l’économie (ci-après : le SECO) a adopté un barème (indicatif) à l’attention des organes d’exécution. Pour la non-observation des instructions de l’ORP autres que le défaut de présentation à une journée d’information ou à un entretien (par exemple : demandes de documents, rendez-vous avec le conseiller en orientation professionnelle, etc.), le barème du SECO prévoit notamment une suspension de trois à dix jours en cas de premier manquement, d’au minimum dix jours pour un deuxième manquement et, dès le troisième manquement, le renvoi pour décision à l’autorité cantonale (cf. ch. D79 du Bulletin LACI IC [Indemnités de chômage]).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w:t>
      </w:r>
    </w:p>
    <w:p>
      <w:r>
        <w:t>- 19 -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8C_337/2012 du 26 juin 2012 consid. 3.2 ; cf. TFA C 285/05 du 25 janvier 2006 in DTA 2006 n° 20 p. 229 consid. 2). b) En l’espèce, la suspension d’une durée de cinq jours échappe à la critique dès lors que l’autorité intimée a retenu l’existence d’une faute légère et prononcé une sanction s’inscrivant dans ce cadre (cf. art. 45 al. 3 OACI). Elle n’apparaît en outre pas disproportionnée au regard de l’ensemble des circonstances du cas et plus particulièrement du manquement reproché, la recourante n’ayant pas simplement postulé dans un délai plus long que prévu à cause d’un manque d’information de l’ORP (cf. réplique du 6 octobre 2017) mais ayant en réalité postulé après l’échéance dudit délai et ce sans raison valable (cf. consid. 5b supra).</w:t>
      </w:r>
    </w:p>
    <w:p>
      <w:r>
        <w:rPr>
          <w:b/>
        </w:rPr>
        <w:t>E. 7</w:t>
      </w:r>
    </w:p>
    <w:p>
      <w:r>
        <w:t>a) En définitive, le recours, mal fondé, doit être rejeté, ce qui entraîne la confirmation de la décision sur opposition litigieuse. b) Il n’y a pas lieu de percevoir de frais judiciaires, la procédure étant gratuite (cf. art. 61 let. a LPGA), ni d’allouer de dépens, dès lors que la recourante n’obtient pas gain de cause (cf. art. 61 let. g LPGA). Par ces motifs, la juge unique p r o n o n c e : I. Le recours déposé le 22 août 2017 par Q.________ est rejeté. II. La décision sur opposition rendue le 22 juin 2017 par le Service de l’emploi, Instance juridique chômage, est confirmée.</w:t>
      </w:r>
    </w:p>
    <w:p>
      <w:r>
        <w:t>- 20 - III. Il n’est pas perçu de frais judiciaires,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