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ZQ17.019254 vom 28. August 2017</w:t>
      </w:r>
    </w:p>
    <w:p>
      <w:r>
        <w:t>VD Tribunal cantonal, 2017-08-28, FR</w:t>
      </w:r>
    </w:p>
    <w:p>
      <w:r>
        <w:rPr>
          <w:b/>
        </w:rPr>
        <w:t xml:space="preserve">Quelle: </w:t>
      </w:r>
      <w:r>
        <w:t>https://mcp.opencaselaw.ch/entscheid/vd_gerichte_ZQ17.019254</w:t>
      </w:r>
    </w:p>
    <w:p>
      <w:r>
        <w:t>FR: VD_GERICHTE ZQ17.019254 du 28 août 2017</w:t>
      </w:r>
    </w:p>
    <w:p>
      <w:r>
        <w:t>IT: VD_GERICHTE ZQ17.019254 del 28 agosto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du lieu où l'assuré se soumet au contrôle obligatoire, en ce qui concerne l'indemnité de chômage (cf. art. 100 al. 3 LACI, 128 al. 1 et 119 al. 1 let. a OACI [ordonnance du 31 août 1983 sur l’assurance- chômage obligatoire et l’indemnité en cas d’insolvabilité ; RS 837.02]). Le</w:t>
      </w:r>
    </w:p>
    <w:p>
      <w:r>
        <w:t>- 6 -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l'occurrence, le recours a été interjeté dans le délai imparti par la loi et satisfait en outre aux autres conditions formelles de recevabilité (art. 61 let. b LPGA notamment), de sorte qu’il y a lieu d’entrer en matière sur le fond.</w:t>
      </w:r>
    </w:p>
    <w:p>
      <w:r>
        <w:rPr>
          <w:b/>
        </w:rPr>
        <w:t>E. 2</w:t>
      </w:r>
    </w:p>
    <w:p>
      <w:r>
        <w:t>Le présent litige porte sur la question de savoir si l’intimée était fondée à demander au recourant la restitution d’un montant de 10'615 fr. 55, correspondant aux indemnités de chômage qu’il aurait perçues à tort pour la période du 11 décembre 2013 au 9 juin 2014.</w:t>
      </w:r>
    </w:p>
    <w:p>
      <w:r>
        <w:rPr>
          <w:b/>
        </w:rPr>
        <w:t>E. 3</w:t>
      </w:r>
    </w:p>
    <w:p>
      <w:r>
        <w:t>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w:t>
      </w:r>
    </w:p>
    <w:p>
      <w:r>
        <w:t>- 7 - mars 2005 consid. 2). Une telle activité constitue un gain intermédiaire au sens de l’art. 24 LACI. b)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Le gain intermédiaire est calculé sur le total du revenu réalisé pendant la période de contrôle. Il est composé du salaire de base, des indemnités pour jours fériés et autres éléments de salaire auxquels l’assuré a droit, tels que treizième salaire, gratifications, commissions, allocations de résidence, allocations de renchérissement, supplément pour travail de nuit, travail du dimanche, travail en équipes, service de piquet, si l’assuré touche normalement ces suppléments en raison de la nature du travail ou de son horaire (cf. Directives administratives édictées par le SECO, Bulletin LACI IC, juillet 2017, chiffre C125 ; cf. également Rubin, op. cit., n° 27 ad art. 24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1ère phrase, LACI ; ATF 129 V 102 ; 120 V 233). La question de la conformité du salaire fixé contractuellement aux usages professionnels et locaux, au sens de l’art. 24 al. 3 LACI, qui ne se confond pas avec celle du caractère convenable d’un emploi (art. 16 LACI), doit être examinée par la caisse à l’occasion du calcul des indemnités de chômage (art. 81 al. 1 let. a LACI). Dans son Bulletin LACI IC (chiffre C134), le SECO précise que si le salaire versé n’est pas conforme au tarif usuel dans la profession et la localité, la caisse l’adapte au salaire en usage pour ce genre de travail. La caisse de chômage devra ainsi déterminer le temps de travail, afin de vérifier que la</w:t>
      </w:r>
    </w:p>
    <w:p>
      <w:r>
        <w:t>- 8 - rémunération obtenue est conforme aux usages professionnels et locaux, l’assuré étant, quant à lui, soumis à l’obligation de collaborer à l’établissement des faits. Lorsque l’horaire de travail n’est pas contrôlable, faute de renseignements crédibles, la caisse pourra présumer que l’assuré a travaillé à plein temps. Cette présomption ne peut toutefois être appliquée trop facilement. La caisse doit tenter de recueillir d’office les renseignements nécessaires et recouper les informations susceptibles d’être obtenues (Rubin, op. cit., n° 26 ad art. 24 LACI, p. 268 et référence citée).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129 V 102 ; 120 V 233 consid. 4b ; 120 V 502 consid. 8e). Un salaire fictif, conforme à ces usages, remplace le salaire réellement perçu par l'assuré, pour le calcul de sa perte de gain (TF C 258/97 du 27 octobre 1997 consid. 2, in DTA 1998 n° 33 p. 182). Les indemnités compensatoires seront calculées sur la base du salaire conforme aux usages professionnels et locaux même si l'assuré ne réalise aucun gain ou seulement un gain minime (TF 8C_774/2008 du 3 avril 2009 consid. 2 ; C 135/98 du 5 juin 2001 consid. 5, in DTA 2002 p. 110). De même, un salaire conforme aux usages professionnels et locaux est pris en compte dès le début du gain intermédiaire, même si aucun revenu n’a été réalisé pendant les premiers mois (cf. TF C 316/05 du 12 octobre 2006 consid. 2.2). En particulier, une rétribution à la commission ne représente pas un salaire conforme aux usages professionnels et locaux si le revenu de l’assuré n’est pas en rapport avec sa prestation de travail. Les employés rémunérés à la commission gagnent généralement très peu durant les premiers mois de travail (formation, constitution de la clientèle). C’est en quelque sorte l’usage dans les professions rémunérées de cette manière. En assurance-chômage, leur gain intermédiaire est</w:t>
      </w:r>
    </w:p>
    <w:p>
      <w:r>
        <w:t>- 9 - toutefois fixé fictivement au moins à 20 fr. de l’heure (TF 8C_774/2008 précité consid. 3.1 ; Rubin, op. cit., n° 36 ad art. 27 LACI, p. 36s.). L'art. 41a al. 1 OACI précise que l'assuré a droit à des indemnités compensatoires pendant le délai-cadre d'indemnisation lorsqu'il réalise un revenu inférieur à son indemnité de chômage. Pour la détermination du gain intermédiaire comme pour le calcul du gain assuré, on applique en règle ordinaire le principe selon lequel un revenu est réputé avoir été réalisé au moment où l’assuré a fourni la prestation de travail rémunératoire et non pas le moment de l’encaissement. C’est pourquoi par exemple, les commissions, gratifications, allocations de renchérissement et primes de fidélité ou de rendement doivent être imputées proportionnellement sur les autres mois de l’année pendant laquelle l’assuré a travaillé, et ce de la même manière qu’un treizième salaire (« principe de survenance » ; ATF 122 V 367 consid. 5b ; TF 8C_472/2010 du 21 octobre 2010 consid. 5.2 ; TFA C 179/06 du 15 novembre 2006 consid. 4 ; Rubin, op. cit., n° 28 ad art. 24 LACI).</w:t>
      </w:r>
    </w:p>
    <w:p>
      <w:r>
        <w:rPr>
          <w:b/>
        </w:rPr>
        <w:t>E. 4</w:t>
      </w:r>
    </w:p>
    <w:p>
      <w:r>
        <w:t>a) A teneur de l’art. 95 al. 1 LACI, la demande de restitution est régie par l’art. 25 LPGA, à l’exception des cas relevant des art. 55 et 59cbis al. 4 LACI, lesquels ne sont toutefois pas applicables en l’espèce. Selon l'art. 25 al. 1, 1ère phrase, LPGA, les prestations indûment touchées doivent être restituées. Cette disposition est issue de la réglementation et de la jurisprudence antérieures à l'entrée en vigueur de la LPGA (ATF 130 V 318 consid. 5.2 et les références). L'obligation de restituer suppose que soient remplies les conditions d'une révision procédurale (cf. art. 53 al. 1 LPGA) ou d'une reconsidération (cf. art. 53 al. 2 LPGA) de la décision – formelle ou non – par laquelle les prestations en cause ont été allouées (cf. ATF 142 V 259 consid. 3.2 ; 138 V 426 consid. 5.2.1 ; 130 V 318 consid. 5.2 et références citées).</w:t>
      </w:r>
    </w:p>
    <w:p>
      <w:r>
        <w:t>- 10 - b)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127 V 466 consid. 2c).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 faits nouveaux ou de nouveaux moyens de preuves susceptibles de conduire à une appréciation juridique différente (ATF 126 V 23 consid. 4b et les références). c) Le droit de demander la restitution de prestations indûment touchées s’éteint un an après le moment où l’institution d’assurance a eu connaissance du fait, mais au plus tard cinq ans après le versement de la prestation (art. 25 al. 2, 1ère phrase, LPGA). Il s’agit là de délais (relatif et absolu) de péremption, qui doivent être examinés d’office (ATF 133 V 579 consid. 4.1 ; 119 V 431 consid. 3a ; TF 8C_968/2012 du 18 novembre 2013</w:t>
      </w:r>
    </w:p>
    <w:p>
      <w:r>
        <w:t>- 11 - consid. 2.2).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139 V 6 consid. 4.1 ;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 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 8C_906/2014 du 30 novembre 2015 consid. 5.2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TF 8C_689/2016 précité consid. 5.1).</w:t>
      </w:r>
    </w:p>
    <w:p>
      <w:r>
        <w:rPr>
          <w:b/>
        </w:rPr>
        <w:t>E. 5</w:t>
      </w:r>
    </w:p>
    <w:p>
      <w:r>
        <w:t>a) En l’occurrence, durant la période litigieuse, soit de décembre 2013 à juin 2014, le recourant a été intégralement indemnisé par l’assurance-chômage. A l’occasion d’un contrôle réalisé par le SECO, l’intimée a eu connaissance, en janvier 2016, des revenus dégagés par</w:t>
      </w:r>
    </w:p>
    <w:p>
      <w:r>
        <w:t>- 12 - l’assuré dans le cadre de son activité de courtier pour Z.________ SA et X.________ SA en 2013 et 2014. Faute d’avoir été renseignée en temps utile sur ces gains, la Caisse était légitimée à considérer que les indemnités journalières de chômage allouées au recourant avaient été calculées sur des bases erronées. Par ailleurs, vu le montant de ces revenus, tels qu’inscrits au CI de l’assuré, à savoir 4'252 fr. en 2013 et 7'682 fr. de janvier à août 2014 de Z.________, ainsi que 4’545 fr. en 2013 et 7'339 fr. en 2014 de X.________ SA, la rectification des décomptes d’indemnités journalières revêtait une importance notable. La connaissance des gains dégagés par le recourant en 2013 et 2014 constituait ainsi incontestablement un motif de réexamen du montant des indemnités journalières, au sens de la jurisprudence citée plus haut. b) La Caisse a rendu la décision de restitution le 29 juin 2016, soit environ six mois après avoir eu connaissance des gains réalisés par le recourant, de sorte que la péremption relative n’était pas encore atteinte. Il en est de même pour le délai de péremption absolu, puisque cette décision concerne les indemnités versées de décembre 2013 à juin 2014. c) Dans son recours, l’assuré fait valoir que les sommes touchées provenaient d’un travail effectué avant son inscription au chômage. Il faut constater à cet égard que les pièces au dossier ne permettent pas de déterminer quand l’assuré a fourni la prestation donnant lieu au versement de commissions. Selon le contrat conclu avec Z.________, l’assuré travaillait comme indicateur d’adresses, c’est-à-dire qu’il avait la possibilité de procurer à Z.________ des opportunités de conclure des contrats d’assurance en échange d’une indemnité. L’article 4 de ce contrat prévoit le versement d’une commission pour les adresses communiquées ayant abouti à la conclusion d’un contrat d’assurance. La commission n’est donc versée qu’après signature du contrat par un agent d’assurance et non par l’assuré, lequel ne fait que fournir l’adresse du client potentiel. Il existe dès lors un décalage temporel entre l’activité sujette à rémunération et le versement de la commission relative. Ce décalage existe également pour les commissions versées par X.________, même si son activité pour cette entreprise était différente puisqu’elle</w:t>
      </w:r>
    </w:p>
    <w:p>
      <w:r>
        <w:t>- 13 - consistait à vendre des produits d’assurance d’institutions partenaires, X.________ servant d’intermédiaire entre les agents et les compagnies d’assurances. Il découle de l’article 6 de la Convention de collaboration « Centrale d’achats » signée entre les parties que si le recourant propose le contrat d’assurance, la commission est en revanche d’abord versée par l’assureur à X.________, qui verse ensuite sa commission à son agent, en l’occurrence le recourant. Au dossier figure le décompte de provisions de Z.________ pour la période du 1er février 2013 au 31 août 2014. Il mentionne les nouveaux contrats, modifications et suppressions de contrat avec en regard une date. A priori, cette date pourrait correspondre à la date de signature du contrat, de sa modification ou de son annulation. Le corollaire d’une telle hypothèse est qu’il est impossible de déterminer quand le recourant a fourni la prestation de courtage à l’origine de la signature du contrat conduisant au versement de la commission, et plus particulièrement si cette prestation a été fournie pendant la période d’indemnisation par le chômage. Les décomptes de X.________ pour les années 2013 et 2014 figurent également au dossier. Leur présentation ne permet toutefois pas de déterminer les dates de propositions de contrats d’assurance par le recourant puisqu’ils ne mentionnent que le montant total des commissions versées mensuellement. À cela s’ajoute que le montant de ces commissions va en diminuant dans le courant du premier semestre 2014, ce qui pourrait tendre à corroborer la version des faits de l’assuré. Il ressort également d’une note téléphonique du 21 mars 2017 entre la Caisse et X.________ que beaucoup de contrats ont été signés en 2013 et apparemment un seul pendant la période d’indemnisation. Les éléments au dossier ne permettent par conséquent pas de déterminer si l’assuré a exercé des activités de courtage pendant sa période de chômage, qui devraient être considérées comme des gains intermédiaires.</w:t>
      </w:r>
    </w:p>
    <w:p>
      <w:r>
        <w:t>- 14 - d) La Caisse a par ailleurs estimé que le salaire de l’assuré n’était pas conforme aux usages professionnels et locaux, du fait que son horaire de travail n’était pas contrôlable et qu’il était rétribué à la commission. Elle a par conséquent considéré que l’assuré était présumé travailler à plein temps pour un salaire horaire de 20 francs. S’il est exact que l’horaire de l’assuré n’est pas contrôlable compte tenu du type d’activité, la Caisse ne l’a toutefois pas interpellé afin de connaître les modalités de son activité ainsi que le temps consacré à celle-ci. Or, comme mentionné ci-dessus (cf. consid. 3b), la présomption selon laquelle un assuré dont l’horaire de travail n’est pas contrôlable est présumé travailler à plein temps ne doit pas être appliquée trop facilement, la caisse devant tenter de recueillir d’office les renseignements nécessaires et recouper les informations susceptibles d’être obtenues (cf. TF C 107/05 du 18 juillet 2006 ; Rubin, op. cit., n° 26 ad art. 24 LACI, p. 268). En outre, si le pourcentage des commissions versées par X.________ est connu, les règlements de commissionnement et tables faisant partie intégrante du contrat avec Z.________ ne figurent pas au dossier. Il appartient à la caisse d’obtenir production des annexes contractuelles auprès de Z.________, cas échéant auprès du recourant, puis de déterminer si les conditions de rémunération du recourant par Z.________ et par X.________ sont conformes aux usages de la branche. Étant rappelé que l’activité du recourant auprès de ces deux sociétés est qualifiée d’auxiliaire par la première et d’accessoire par la seconde, sa situation n’est pas comparable à celle de l’employé d’assurance débutant au bénéfice d’un contrat de travail de durée indéterminée avec une rémunération à la commission, outre un éventuel forfait et le remboursement de ses frais, situation dans laquelle le gain intermédiaire est fixé fictivement à 20 fr. l’heure (cf. Rubin, op. cit., n° 36 ad art. 24 LACI, p. 270s.). Il en va ainsi de l’agent employé d’assurance, qui vend les produits d’une seule compagnie d’assurances et perçoit généralement une commission à la conclusion du contrat et une commission de gestion de portefeuille versée pendant la durée de validité du contrat, cas échéant</w:t>
      </w:r>
    </w:p>
    <w:p>
      <w:r>
        <w:t>- 15 - une super-commission en fonction du volume de contrats conclus sur l’année. Le recourant, quant à lui, n’a pas de clause de non-concurrence et ne bénéficie pas d’une commission de gestion de portefeuille. Or, dans le cas de l’agent employé, cette commission sera versée pendant toute la durée de validité du contrat, laquelle peut durer plusieurs années, et ceci sur la base d’une prestation unique, ce qui explique qu’un gain intermédiaire fictif soit retenu. Ainsi, sous réserve d’un pourcentage de commissions contraire aux usages de la branche, il conviendra, dans le cas du recourant, de tenir compte du gain effectivement réalisé et non d’un gain fictif.</w:t>
      </w:r>
    </w:p>
    <w:p>
      <w:r>
        <w:rPr>
          <w:b/>
        </w:rPr>
        <w:t>E. 6</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8C_667/2012 du 12 juin 2013 consid. 4.1).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w:t>
      </w:r>
    </w:p>
    <w:p>
      <w:r>
        <w:t>- 16 - suffisante sur des points décisifs (ATF 137 V 210 consid. 4.4.1.4 et 4.4.1.5). c) En l’occurrence, étant donné les lacunes relevées au considérant 5 ci-avant, il s’agit de renvoyer la cause à l’intimée pour compléter l’instruction. Il appartiendra à la Caisse d’interpeller Z.________ et X.________ pour connaître les dates auxquelles le recourant a déployé l’activité de courtier à l’origine de la conclusion de contrats et du versement des commissions y relatives. Il pourra s’agir des dates de communication par le recourant des adresses de clients potentiels à Z.________ et des dates de propositions de contrats avec le preneur d’assurance s’agissant des commissions versées par X.________. Dans l’hypothèse où il apparaîtrait que le recourant a effectivement déployé une activité de courtier en assurances entre le 11 décembre 2013 et le 9 juin 2014 à l’origine du versement de commissions, et ceci quelle que soit la date dudit versement, il appartiendrait alors à la Caisse, après avoir vérifié que les conditions contractuelles de rémunération offertes par Z.________ et X.________ sont conformes aux usages de la branche, de rectifier les décomptes d’indemnités en tenant compte de ces commissions à titre de gain intermédiaire, de surcroît en attribuant le gain intermédiaire au mois correspondant à la communication de l’adresse du client potentiel pour Z.________, respectivement à la date de conclusion du contrat avec le preneur d’assurance pour X.________.</w:t>
      </w:r>
    </w:p>
    <w:p>
      <w:r>
        <w:rPr>
          <w:b/>
        </w:rPr>
        <w:t>E. 7</w:t>
      </w:r>
    </w:p>
    <w:p>
      <w:r>
        <w:t>a) En définitive, le recours doit être admis, ce qui entraîne l’annulation de la décision sur opposition attaquée et le renvoi du dossier de la cause à l’intimée pour complément d’instruction dans le sens des considérants, puis nouvelle décision. b) La procédure étant gratuite, il n'y a pas lieu de percevoir de frais de justice (art. 61 let. a LPGA). Par ailleurs, ayant obtenu gain de cause sans l’assistance d’un mandataire professionnel, le recourant n’a pas droit à des dépens (art. 55 LPA-VD ; art. 61 let. g LPGA).</w:t>
      </w:r>
    </w:p>
    <w:p>
      <w:r>
        <w:t>- 17 - Par ces motifs, la juge unique p r o n o n c e : I. Le recours est admis. II. La décision sur opposition rendue le 29 mars 2017 par la Caisse W.________ est annulée, la cause étant renvoyée à cette dernière pour complément d’instruction dans le sens des considérants et nouvelle décision. III. Il n’est pas perçu de frais de justice, ni alloué de dépens. La juge unique : La greffière : Du L'arrêt qui précède est notifié à : - M. U.________, - Caisse W.________, - Secrétariat d’Etat à l’économie,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